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244"/>
        <w:gridCol w:w="2046"/>
        <w:gridCol w:w="1116"/>
        <w:gridCol w:w="2044"/>
        <w:gridCol w:w="851"/>
        <w:gridCol w:w="948"/>
        <w:gridCol w:w="2737"/>
        <w:gridCol w:w="2777"/>
      </w:tblGrid>
      <w:tr w:rsidR="00986718" w:rsidRPr="00C7466A" w14:paraId="3BA456C4" w14:textId="77777777" w:rsidTr="00C134E7">
        <w:trPr>
          <w:trHeight w:val="394"/>
        </w:trPr>
        <w:tc>
          <w:tcPr>
            <w:tcW w:w="15388" w:type="dxa"/>
            <w:gridSpan w:val="9"/>
            <w:shd w:val="clear" w:color="auto" w:fill="BDD6EE"/>
            <w:vAlign w:val="center"/>
          </w:tcPr>
          <w:p w14:paraId="4F48EC76" w14:textId="77777777" w:rsidR="00986718" w:rsidRPr="00C7466A" w:rsidRDefault="00986718" w:rsidP="00C7466A">
            <w:pPr>
              <w:spacing w:after="0" w:line="240" w:lineRule="auto"/>
              <w:jc w:val="center"/>
              <w:rPr>
                <w:rFonts w:cs="Calibri"/>
                <w:b/>
                <w:szCs w:val="20"/>
              </w:rPr>
            </w:pPr>
            <w:r w:rsidRPr="00C7466A">
              <w:rPr>
                <w:rFonts w:cs="Calibri"/>
                <w:b/>
                <w:szCs w:val="20"/>
              </w:rPr>
              <w:t>Provider line of sight table on report recommendations for submission to the funders</w:t>
            </w:r>
          </w:p>
        </w:tc>
      </w:tr>
      <w:tr w:rsidR="00986718" w:rsidRPr="00C7466A" w14:paraId="0CDCCFA4" w14:textId="77777777" w:rsidTr="00C134E7">
        <w:tc>
          <w:tcPr>
            <w:tcW w:w="15388" w:type="dxa"/>
            <w:gridSpan w:val="9"/>
            <w:shd w:val="clear" w:color="auto" w:fill="BDD6EE"/>
          </w:tcPr>
          <w:p w14:paraId="2AA16643" w14:textId="77777777" w:rsidR="00986718" w:rsidRPr="00C7466A" w:rsidRDefault="00986718" w:rsidP="00C7466A">
            <w:pPr>
              <w:spacing w:after="0" w:line="240" w:lineRule="auto"/>
              <w:rPr>
                <w:rFonts w:cs="Calibri"/>
                <w:b/>
              </w:rPr>
            </w:pPr>
            <w:r w:rsidRPr="00C7466A">
              <w:rPr>
                <w:rFonts w:cs="Calibri"/>
                <w:b/>
              </w:rPr>
              <w:t>Please can the provider complete the following details to allow for ease of access and rapid review</w:t>
            </w:r>
          </w:p>
        </w:tc>
      </w:tr>
      <w:tr w:rsidR="00900DC1" w:rsidRPr="00C7466A" w14:paraId="4342B325" w14:textId="77777777" w:rsidTr="00C134E7">
        <w:trPr>
          <w:trHeight w:val="693"/>
        </w:trPr>
        <w:tc>
          <w:tcPr>
            <w:tcW w:w="6031" w:type="dxa"/>
            <w:gridSpan w:val="4"/>
            <w:shd w:val="clear" w:color="auto" w:fill="DEEAF6"/>
            <w:vAlign w:val="center"/>
          </w:tcPr>
          <w:p w14:paraId="0E167C01" w14:textId="377D1BF3" w:rsidR="00986718" w:rsidRDefault="00986718" w:rsidP="00C3059E">
            <w:pPr>
              <w:pStyle w:val="ListParagraph"/>
              <w:spacing w:after="0" w:line="240" w:lineRule="auto"/>
              <w:ind w:left="0"/>
              <w:rPr>
                <w:rFonts w:eastAsia="Times New Roman"/>
                <w:b/>
              </w:rPr>
            </w:pPr>
            <w:r>
              <w:rPr>
                <w:rFonts w:eastAsia="Times New Roman"/>
                <w:b/>
              </w:rPr>
              <w:t>Project and Title of report, i</w:t>
            </w:r>
            <w:r w:rsidRPr="00C3059E">
              <w:rPr>
                <w:rFonts w:eastAsia="Times New Roman"/>
                <w:b/>
              </w:rPr>
              <w:t>nc</w:t>
            </w:r>
            <w:r>
              <w:rPr>
                <w:rFonts w:eastAsia="Times New Roman"/>
                <w:b/>
              </w:rPr>
              <w:t>luding HQIP R</w:t>
            </w:r>
            <w:r w:rsidR="004355A5">
              <w:rPr>
                <w:rFonts w:eastAsia="Times New Roman"/>
                <w:b/>
              </w:rPr>
              <w:t>ef.</w:t>
            </w:r>
          </w:p>
          <w:p w14:paraId="0F9FF966" w14:textId="445F4413" w:rsidR="00986718" w:rsidRPr="00C3059E" w:rsidRDefault="00B334DC" w:rsidP="00C3059E">
            <w:pPr>
              <w:pStyle w:val="ListParagraph"/>
              <w:spacing w:after="0" w:line="240" w:lineRule="auto"/>
              <w:ind w:left="0"/>
              <w:rPr>
                <w:rFonts w:eastAsia="Times New Roman"/>
                <w:b/>
              </w:rPr>
            </w:pPr>
            <w:r w:rsidRPr="00C3059E">
              <w:rPr>
                <w:rFonts w:eastAsia="Times New Roman"/>
                <w:b/>
                <w:i/>
              </w:rPr>
              <w:t>e.g.,</w:t>
            </w:r>
            <w:r w:rsidR="00986718" w:rsidRPr="00C3059E">
              <w:rPr>
                <w:rFonts w:eastAsia="Times New Roman"/>
                <w:b/>
                <w:i/>
              </w:rPr>
              <w:t xml:space="preserve"> R</w:t>
            </w:r>
            <w:r w:rsidR="004355A5">
              <w:rPr>
                <w:rFonts w:eastAsia="Times New Roman"/>
                <w:b/>
                <w:i/>
              </w:rPr>
              <w:t>ef.</w:t>
            </w:r>
            <w:r w:rsidR="00986718" w:rsidRPr="00C3059E">
              <w:rPr>
                <w:rFonts w:eastAsia="Times New Roman"/>
                <w:b/>
                <w:i/>
              </w:rPr>
              <w:t xml:space="preserve"> X</w:t>
            </w:r>
            <w:r w:rsidR="004355A5">
              <w:rPr>
                <w:rFonts w:eastAsia="Times New Roman"/>
                <w:b/>
                <w:i/>
              </w:rPr>
              <w:t>X</w:t>
            </w:r>
            <w:r w:rsidR="00986718" w:rsidRPr="00C3059E">
              <w:rPr>
                <w:rFonts w:eastAsia="Times New Roman"/>
                <w:b/>
                <w:i/>
              </w:rPr>
              <w:t xml:space="preserve">X, Project and </w:t>
            </w:r>
            <w:r w:rsidR="004355A5">
              <w:rPr>
                <w:rFonts w:eastAsia="Times New Roman"/>
                <w:b/>
                <w:i/>
              </w:rPr>
              <w:t>r</w:t>
            </w:r>
            <w:r w:rsidR="00986718" w:rsidRPr="00C3059E">
              <w:rPr>
                <w:rFonts w:eastAsia="Times New Roman"/>
                <w:b/>
                <w:i/>
              </w:rPr>
              <w:t>eport title</w:t>
            </w:r>
          </w:p>
        </w:tc>
        <w:tc>
          <w:tcPr>
            <w:tcW w:w="9357" w:type="dxa"/>
            <w:gridSpan w:val="5"/>
            <w:shd w:val="clear" w:color="auto" w:fill="F2F2F2"/>
          </w:tcPr>
          <w:p w14:paraId="072F7907" w14:textId="433F5C33" w:rsidR="00986718" w:rsidRPr="00C7466A" w:rsidRDefault="00F618DF" w:rsidP="00C7466A">
            <w:pPr>
              <w:spacing w:after="0" w:line="240" w:lineRule="auto"/>
              <w:rPr>
                <w:rFonts w:cs="Calibri"/>
                <w:b/>
              </w:rPr>
            </w:pPr>
            <w:r>
              <w:rPr>
                <w:rFonts w:cs="Calibri"/>
                <w:b/>
              </w:rPr>
              <w:t>REF 616</w:t>
            </w:r>
            <w:r w:rsidR="00801FB3">
              <w:rPr>
                <w:rFonts w:cs="Calibri"/>
                <w:b/>
              </w:rPr>
              <w:t xml:space="preserve">, National Respiratory Audit Programme – Catching our breath: Time for change in respiratory care, 2023-24. </w:t>
            </w:r>
          </w:p>
        </w:tc>
      </w:tr>
      <w:tr w:rsidR="00900DC1" w:rsidRPr="00C7466A" w14:paraId="560A128E" w14:textId="77777777" w:rsidTr="00C134E7">
        <w:trPr>
          <w:trHeight w:val="404"/>
        </w:trPr>
        <w:tc>
          <w:tcPr>
            <w:tcW w:w="6031" w:type="dxa"/>
            <w:gridSpan w:val="4"/>
            <w:shd w:val="clear" w:color="auto" w:fill="DEEAF6"/>
            <w:vAlign w:val="center"/>
          </w:tcPr>
          <w:p w14:paraId="47B40788" w14:textId="6F323FAB" w:rsidR="00986718" w:rsidRPr="004355A5" w:rsidRDefault="00986718" w:rsidP="004355A5">
            <w:pPr>
              <w:pStyle w:val="ListParagraph"/>
              <w:numPr>
                <w:ilvl w:val="0"/>
                <w:numId w:val="4"/>
              </w:numPr>
              <w:spacing w:after="0" w:line="240" w:lineRule="auto"/>
              <w:rPr>
                <w:rFonts w:cs="Calibri"/>
                <w:b/>
              </w:rPr>
            </w:pPr>
            <w:r w:rsidRPr="00C7466A">
              <w:rPr>
                <w:rFonts w:eastAsia="Times New Roman"/>
              </w:rPr>
              <w:t>What is the report looking at/what is the project measuring?</w:t>
            </w:r>
          </w:p>
        </w:tc>
        <w:tc>
          <w:tcPr>
            <w:tcW w:w="9357" w:type="dxa"/>
            <w:gridSpan w:val="5"/>
            <w:shd w:val="clear" w:color="auto" w:fill="F2F2F2"/>
          </w:tcPr>
          <w:p w14:paraId="6091D7A1" w14:textId="2C802D7B" w:rsidR="00986718" w:rsidRPr="00C7466A" w:rsidRDefault="00ED77C5" w:rsidP="00C7466A">
            <w:pPr>
              <w:spacing w:after="0" w:line="240" w:lineRule="auto"/>
              <w:rPr>
                <w:rFonts w:cs="Calibri"/>
                <w:b/>
              </w:rPr>
            </w:pPr>
            <w:r>
              <w:rPr>
                <w:rFonts w:cs="Calibri"/>
                <w:b/>
              </w:rPr>
              <w:t xml:space="preserve">This is our annual State of the Nation report which combines NRAP data on people admitted to hospital due to an exacerbation of asthma and/or COPD, and people with COPD assessed for pulmonary rehabilitation. </w:t>
            </w:r>
          </w:p>
        </w:tc>
      </w:tr>
      <w:tr w:rsidR="00900DC1" w:rsidRPr="00C7466A" w14:paraId="2C6563B3" w14:textId="77777777" w:rsidTr="00C134E7">
        <w:trPr>
          <w:trHeight w:val="410"/>
        </w:trPr>
        <w:tc>
          <w:tcPr>
            <w:tcW w:w="6031" w:type="dxa"/>
            <w:gridSpan w:val="4"/>
            <w:shd w:val="clear" w:color="auto" w:fill="DEEAF6"/>
            <w:vAlign w:val="center"/>
          </w:tcPr>
          <w:p w14:paraId="72FD01DF" w14:textId="652C3B11" w:rsidR="00986718" w:rsidRPr="004355A5" w:rsidRDefault="00986718" w:rsidP="004355A5">
            <w:pPr>
              <w:pStyle w:val="ListParagraph"/>
              <w:numPr>
                <w:ilvl w:val="0"/>
                <w:numId w:val="4"/>
              </w:numPr>
              <w:spacing w:after="0" w:line="240" w:lineRule="auto"/>
              <w:rPr>
                <w:rFonts w:cs="Calibri"/>
                <w:b/>
              </w:rPr>
            </w:pPr>
            <w:r w:rsidRPr="00C7466A">
              <w:rPr>
                <w:rFonts w:eastAsia="Times New Roman"/>
              </w:rPr>
              <w:t>What countries are covered?</w:t>
            </w:r>
          </w:p>
        </w:tc>
        <w:tc>
          <w:tcPr>
            <w:tcW w:w="9357" w:type="dxa"/>
            <w:gridSpan w:val="5"/>
            <w:shd w:val="clear" w:color="auto" w:fill="F2F2F2"/>
          </w:tcPr>
          <w:p w14:paraId="6F3DAEBC" w14:textId="2AE848C3" w:rsidR="00986718" w:rsidRPr="00C7466A" w:rsidRDefault="003F2E0D" w:rsidP="0064280E">
            <w:pPr>
              <w:tabs>
                <w:tab w:val="left" w:pos="1155"/>
              </w:tabs>
              <w:spacing w:after="0" w:line="240" w:lineRule="auto"/>
              <w:rPr>
                <w:rFonts w:cs="Calibri"/>
                <w:b/>
              </w:rPr>
            </w:pPr>
            <w:r>
              <w:rPr>
                <w:rFonts w:cs="Calibri"/>
                <w:b/>
              </w:rPr>
              <w:t>England and Wales</w:t>
            </w:r>
          </w:p>
        </w:tc>
      </w:tr>
      <w:tr w:rsidR="00900DC1" w:rsidRPr="00C7466A" w14:paraId="2714FF62" w14:textId="77777777" w:rsidTr="00C134E7">
        <w:trPr>
          <w:trHeight w:val="700"/>
        </w:trPr>
        <w:tc>
          <w:tcPr>
            <w:tcW w:w="6031" w:type="dxa"/>
            <w:gridSpan w:val="4"/>
            <w:shd w:val="clear" w:color="auto" w:fill="DEEAF6"/>
            <w:vAlign w:val="center"/>
          </w:tcPr>
          <w:p w14:paraId="6D10E17E" w14:textId="45B7EB67" w:rsidR="00986718" w:rsidRPr="004355A5" w:rsidRDefault="00986718" w:rsidP="004355A5">
            <w:pPr>
              <w:numPr>
                <w:ilvl w:val="0"/>
                <w:numId w:val="4"/>
              </w:numPr>
              <w:spacing w:after="0" w:line="240" w:lineRule="auto"/>
              <w:rPr>
                <w:rFonts w:cs="Calibri"/>
                <w:b/>
              </w:rPr>
            </w:pPr>
            <w:r w:rsidRPr="00C7466A">
              <w:rPr>
                <w:rFonts w:eastAsia="Times New Roman"/>
              </w:rPr>
              <w:t>The number of previous projects (</w:t>
            </w:r>
            <w:r w:rsidR="00B334DC" w:rsidRPr="00C7466A">
              <w:rPr>
                <w:rFonts w:eastAsia="Times New Roman"/>
              </w:rPr>
              <w:t>e.g.,</w:t>
            </w:r>
            <w:r w:rsidRPr="00C7466A">
              <w:rPr>
                <w:rFonts w:eastAsia="Times New Roman"/>
              </w:rPr>
              <w:t xml:space="preserve"> whether it is the 4</w:t>
            </w:r>
            <w:r w:rsidRPr="00C7466A">
              <w:rPr>
                <w:rFonts w:eastAsia="Times New Roman"/>
                <w:vertAlign w:val="superscript"/>
              </w:rPr>
              <w:t>th</w:t>
            </w:r>
            <w:r w:rsidRPr="00C7466A">
              <w:rPr>
                <w:rFonts w:eastAsia="Times New Roman"/>
              </w:rPr>
              <w:t xml:space="preserve"> project or if it is a continuous project)</w:t>
            </w:r>
          </w:p>
        </w:tc>
        <w:tc>
          <w:tcPr>
            <w:tcW w:w="9357" w:type="dxa"/>
            <w:gridSpan w:val="5"/>
            <w:shd w:val="clear" w:color="auto" w:fill="F2F2F2"/>
          </w:tcPr>
          <w:p w14:paraId="3BA7953C" w14:textId="0D4C6997" w:rsidR="00986718" w:rsidRPr="00C7466A" w:rsidRDefault="009A4997" w:rsidP="00C7466A">
            <w:pPr>
              <w:spacing w:after="0" w:line="240" w:lineRule="auto"/>
              <w:rPr>
                <w:rFonts w:cs="Calibri"/>
                <w:b/>
              </w:rPr>
            </w:pPr>
            <w:r>
              <w:rPr>
                <w:rFonts w:cs="Calibri"/>
                <w:b/>
              </w:rPr>
              <w:t xml:space="preserve">This is the second </w:t>
            </w:r>
            <w:r w:rsidR="00C65BC8">
              <w:rPr>
                <w:rFonts w:cs="Calibri"/>
                <w:b/>
              </w:rPr>
              <w:t xml:space="preserve">State of the Nation report published under NRAP. The previous report is Breathing well, which was published in July 2024, containing data from 2022-23. </w:t>
            </w:r>
          </w:p>
        </w:tc>
      </w:tr>
      <w:tr w:rsidR="00900DC1" w:rsidRPr="00C7466A" w14:paraId="7AEB77ED" w14:textId="77777777" w:rsidTr="00C134E7">
        <w:trPr>
          <w:trHeight w:val="710"/>
        </w:trPr>
        <w:tc>
          <w:tcPr>
            <w:tcW w:w="6031" w:type="dxa"/>
            <w:gridSpan w:val="4"/>
            <w:shd w:val="clear" w:color="auto" w:fill="DEEAF6"/>
            <w:vAlign w:val="center"/>
          </w:tcPr>
          <w:p w14:paraId="763A5603" w14:textId="7B60A05D" w:rsidR="00986718" w:rsidRPr="004355A5" w:rsidRDefault="00986718" w:rsidP="004355A5">
            <w:pPr>
              <w:numPr>
                <w:ilvl w:val="0"/>
                <w:numId w:val="4"/>
              </w:numPr>
              <w:spacing w:after="0" w:line="240" w:lineRule="auto"/>
              <w:rPr>
                <w:rFonts w:cs="Calibri"/>
                <w:b/>
              </w:rPr>
            </w:pPr>
            <w:r w:rsidRPr="00C7466A">
              <w:rPr>
                <w:rFonts w:eastAsia="Times New Roman"/>
              </w:rPr>
              <w:t xml:space="preserve">The date the data is related to (please include the start and end points – </w:t>
            </w:r>
            <w:r w:rsidR="00B334DC" w:rsidRPr="00C7466A">
              <w:rPr>
                <w:rFonts w:eastAsia="Times New Roman"/>
              </w:rPr>
              <w:t>e.g.,</w:t>
            </w:r>
            <w:r w:rsidRPr="00C7466A">
              <w:rPr>
                <w:rFonts w:eastAsia="Times New Roman"/>
              </w:rPr>
              <w:t xml:space="preserve"> from 1 January 2016 to 1 October 2016)</w:t>
            </w:r>
          </w:p>
        </w:tc>
        <w:tc>
          <w:tcPr>
            <w:tcW w:w="9357" w:type="dxa"/>
            <w:gridSpan w:val="5"/>
            <w:shd w:val="clear" w:color="auto" w:fill="F2F2F2"/>
          </w:tcPr>
          <w:p w14:paraId="3702A11C" w14:textId="340D9B6F" w:rsidR="00986718" w:rsidRPr="00C7466A" w:rsidRDefault="00B02EDA" w:rsidP="00C7466A">
            <w:pPr>
              <w:spacing w:after="0" w:line="240" w:lineRule="auto"/>
              <w:rPr>
                <w:rFonts w:cs="Calibri"/>
                <w:b/>
              </w:rPr>
            </w:pPr>
            <w:r w:rsidRPr="00B02EDA">
              <w:rPr>
                <w:rFonts w:cs="Calibri"/>
                <w:b/>
              </w:rPr>
              <w:t>This data is informed by case records relating to people with asthma and COPD admitted to hospital with an exacerbation between 1 April 202</w:t>
            </w:r>
            <w:r>
              <w:rPr>
                <w:rFonts w:cs="Calibri"/>
                <w:b/>
              </w:rPr>
              <w:t>3</w:t>
            </w:r>
            <w:r w:rsidRPr="00B02EDA">
              <w:rPr>
                <w:rFonts w:cs="Calibri"/>
                <w:b/>
              </w:rPr>
              <w:t xml:space="preserve"> - 31 March 202</w:t>
            </w:r>
            <w:r>
              <w:rPr>
                <w:rFonts w:cs="Calibri"/>
                <w:b/>
              </w:rPr>
              <w:t>4</w:t>
            </w:r>
            <w:r w:rsidRPr="00B02EDA">
              <w:rPr>
                <w:rFonts w:cs="Calibri"/>
                <w:b/>
              </w:rPr>
              <w:t xml:space="preserve">, and people with COPD assessed for pulmonary rehabilitation between 1 </w:t>
            </w:r>
            <w:r w:rsidR="005B2EDC">
              <w:rPr>
                <w:rFonts w:cs="Calibri"/>
                <w:b/>
              </w:rPr>
              <w:t>April</w:t>
            </w:r>
            <w:r w:rsidRPr="00B02EDA">
              <w:rPr>
                <w:rFonts w:cs="Calibri"/>
                <w:b/>
              </w:rPr>
              <w:t xml:space="preserve"> 202</w:t>
            </w:r>
            <w:r w:rsidR="005B2EDC">
              <w:rPr>
                <w:rFonts w:cs="Calibri"/>
                <w:b/>
              </w:rPr>
              <w:t>3</w:t>
            </w:r>
            <w:r w:rsidRPr="00B02EDA">
              <w:rPr>
                <w:rFonts w:cs="Calibri"/>
                <w:b/>
              </w:rPr>
              <w:t xml:space="preserve"> - 31 March 202</w:t>
            </w:r>
            <w:r w:rsidR="005B2EDC">
              <w:rPr>
                <w:rFonts w:cs="Calibri"/>
                <w:b/>
              </w:rPr>
              <w:t>4</w:t>
            </w:r>
            <w:r w:rsidRPr="00B02EDA">
              <w:rPr>
                <w:rFonts w:cs="Calibri"/>
                <w:b/>
              </w:rPr>
              <w:t>.</w:t>
            </w:r>
          </w:p>
        </w:tc>
      </w:tr>
      <w:tr w:rsidR="00900DC1" w:rsidRPr="00C7466A" w14:paraId="1DEC62CD" w14:textId="77777777" w:rsidTr="00C134E7">
        <w:trPr>
          <w:trHeight w:val="691"/>
        </w:trPr>
        <w:tc>
          <w:tcPr>
            <w:tcW w:w="6031" w:type="dxa"/>
            <w:gridSpan w:val="4"/>
            <w:shd w:val="clear" w:color="auto" w:fill="DEEAF6"/>
            <w:vAlign w:val="center"/>
          </w:tcPr>
          <w:p w14:paraId="4E71084F" w14:textId="52554A39" w:rsidR="00986718" w:rsidRPr="004355A5" w:rsidRDefault="00986718" w:rsidP="004355A5">
            <w:pPr>
              <w:numPr>
                <w:ilvl w:val="0"/>
                <w:numId w:val="4"/>
              </w:numPr>
              <w:spacing w:after="0" w:line="240" w:lineRule="auto"/>
              <w:rPr>
                <w:rFonts w:cs="Calibri"/>
                <w:b/>
              </w:rPr>
            </w:pPr>
            <w:r w:rsidRPr="00C7466A">
              <w:rPr>
                <w:rFonts w:eastAsia="Times New Roman"/>
              </w:rPr>
              <w:t>Any links to NHS England objectives or professional work-plans (only if you are aware of any)</w:t>
            </w:r>
          </w:p>
        </w:tc>
        <w:tc>
          <w:tcPr>
            <w:tcW w:w="9357" w:type="dxa"/>
            <w:gridSpan w:val="5"/>
            <w:shd w:val="clear" w:color="auto" w:fill="F2F2F2"/>
          </w:tcPr>
          <w:p w14:paraId="7798A622" w14:textId="5BFCE5C3" w:rsidR="009227D4" w:rsidRPr="009227D4" w:rsidRDefault="009227D4" w:rsidP="009227D4">
            <w:pPr>
              <w:spacing w:after="0" w:line="240" w:lineRule="auto"/>
              <w:rPr>
                <w:rFonts w:cs="Calibri"/>
                <w:b/>
              </w:rPr>
            </w:pPr>
            <w:r w:rsidRPr="009227D4">
              <w:rPr>
                <w:rFonts w:cs="Calibri"/>
                <w:b/>
              </w:rPr>
              <w:t>This supports the NHS Long Term Plan initiatives for respiratory and tobacco. It also supports the NHS Core20PLUS5 initiatives for adults and children &amp; young people.</w:t>
            </w:r>
          </w:p>
          <w:p w14:paraId="6158922B" w14:textId="6620137E" w:rsidR="00986718" w:rsidRPr="00C7466A" w:rsidRDefault="00986718" w:rsidP="00C7466A">
            <w:pPr>
              <w:spacing w:after="0" w:line="240" w:lineRule="auto"/>
              <w:rPr>
                <w:rFonts w:cs="Calibri"/>
                <w:b/>
              </w:rPr>
            </w:pPr>
          </w:p>
        </w:tc>
      </w:tr>
      <w:tr w:rsidR="00900DC1" w:rsidRPr="00C7466A" w14:paraId="51E0DAFF" w14:textId="77777777" w:rsidTr="00C134E7">
        <w:tc>
          <w:tcPr>
            <w:tcW w:w="12611" w:type="dxa"/>
            <w:gridSpan w:val="8"/>
            <w:shd w:val="clear" w:color="auto" w:fill="BDD6EE"/>
          </w:tcPr>
          <w:p w14:paraId="10970A86" w14:textId="77777777" w:rsidR="00986718" w:rsidRPr="00C7466A" w:rsidRDefault="00986718" w:rsidP="00C7466A">
            <w:pPr>
              <w:spacing w:after="0" w:line="240" w:lineRule="auto"/>
              <w:rPr>
                <w:rFonts w:cs="Calibri"/>
                <w:b/>
              </w:rPr>
            </w:pPr>
            <w:r w:rsidRPr="00C7466A">
              <w:rPr>
                <w:rFonts w:cs="Calibri"/>
                <w:b/>
              </w:rPr>
              <w:t>Please can the provider complete the below for each recommendation in the report</w:t>
            </w:r>
          </w:p>
        </w:tc>
        <w:tc>
          <w:tcPr>
            <w:tcW w:w="2777" w:type="dxa"/>
            <w:shd w:val="clear" w:color="auto" w:fill="BDD6EE"/>
          </w:tcPr>
          <w:p w14:paraId="0D7B6510" w14:textId="77777777" w:rsidR="00986718" w:rsidRPr="00C7466A" w:rsidRDefault="00986718" w:rsidP="00C7466A">
            <w:pPr>
              <w:spacing w:after="0" w:line="240" w:lineRule="auto"/>
              <w:rPr>
                <w:rFonts w:cs="Calibri"/>
                <w:b/>
              </w:rPr>
            </w:pPr>
          </w:p>
        </w:tc>
      </w:tr>
      <w:tr w:rsidR="00C134E7" w:rsidRPr="00C7466A" w14:paraId="33046F1C" w14:textId="77777777" w:rsidTr="00C134E7">
        <w:tc>
          <w:tcPr>
            <w:tcW w:w="625" w:type="dxa"/>
            <w:shd w:val="clear" w:color="auto" w:fill="DEEAF6"/>
          </w:tcPr>
          <w:p w14:paraId="3A3E4DB7" w14:textId="77777777" w:rsidR="00900DC1" w:rsidRPr="00C7466A" w:rsidRDefault="00900DC1" w:rsidP="00900DC1">
            <w:pPr>
              <w:spacing w:after="0" w:line="240" w:lineRule="auto"/>
              <w:rPr>
                <w:rFonts w:cs="Calibri"/>
                <w:b/>
              </w:rPr>
            </w:pPr>
            <w:r w:rsidRPr="00C7466A">
              <w:br w:type="page"/>
            </w:r>
            <w:r w:rsidRPr="00C7466A">
              <w:rPr>
                <w:rFonts w:cs="Calibri"/>
                <w:b/>
              </w:rPr>
              <w:t>No.</w:t>
            </w:r>
          </w:p>
        </w:tc>
        <w:tc>
          <w:tcPr>
            <w:tcW w:w="2244" w:type="dxa"/>
            <w:shd w:val="clear" w:color="auto" w:fill="DEEAF6"/>
          </w:tcPr>
          <w:p w14:paraId="03384099" w14:textId="77777777" w:rsidR="00900DC1" w:rsidRPr="00C7466A" w:rsidRDefault="00900DC1" w:rsidP="00900DC1">
            <w:pPr>
              <w:spacing w:after="0" w:line="240" w:lineRule="auto"/>
              <w:rPr>
                <w:rFonts w:cs="Calibri"/>
                <w:b/>
              </w:rPr>
            </w:pPr>
            <w:r w:rsidRPr="00C7466A">
              <w:rPr>
                <w:rFonts w:cs="Calibri"/>
                <w:b/>
              </w:rPr>
              <w:t>Recommendation</w:t>
            </w:r>
          </w:p>
        </w:tc>
        <w:tc>
          <w:tcPr>
            <w:tcW w:w="2046" w:type="dxa"/>
            <w:shd w:val="clear" w:color="auto" w:fill="DEEAF6"/>
          </w:tcPr>
          <w:p w14:paraId="2012DC44" w14:textId="77777777" w:rsidR="00900DC1" w:rsidRPr="00C7466A" w:rsidRDefault="00900DC1" w:rsidP="00900DC1">
            <w:pPr>
              <w:spacing w:after="0" w:line="240" w:lineRule="auto"/>
              <w:rPr>
                <w:rFonts w:cs="Calibri"/>
                <w:b/>
              </w:rPr>
            </w:pPr>
            <w:r>
              <w:rPr>
                <w:rFonts w:cs="Calibri"/>
                <w:b/>
              </w:rPr>
              <w:t>Intended audience for recommendation</w:t>
            </w:r>
          </w:p>
        </w:tc>
        <w:tc>
          <w:tcPr>
            <w:tcW w:w="3160" w:type="dxa"/>
            <w:gridSpan w:val="2"/>
            <w:shd w:val="clear" w:color="auto" w:fill="DEEAF6"/>
          </w:tcPr>
          <w:p w14:paraId="0E98D667" w14:textId="585960C2" w:rsidR="00900DC1" w:rsidRPr="00C7466A" w:rsidRDefault="00900DC1" w:rsidP="00900DC1">
            <w:pPr>
              <w:spacing w:after="0" w:line="240" w:lineRule="auto"/>
              <w:rPr>
                <w:rFonts w:cs="Calibri"/>
                <w:b/>
              </w:rPr>
            </w:pPr>
            <w:r w:rsidRPr="00C7466A">
              <w:rPr>
                <w:rFonts w:cs="Calibri"/>
                <w:b/>
              </w:rPr>
              <w:t>Evidence in the report which underpins the recommendation</w:t>
            </w:r>
            <w:r w:rsidR="004355A5">
              <w:rPr>
                <w:rFonts w:cs="Calibri"/>
                <w:b/>
              </w:rPr>
              <w:t xml:space="preserve"> </w:t>
            </w:r>
            <w:r w:rsidR="004355A5" w:rsidRPr="004355A5">
              <w:rPr>
                <w:rFonts w:cs="Calibri"/>
                <w:bCs/>
                <w:i/>
                <w:iCs/>
              </w:rPr>
              <w:t>(inc</w:t>
            </w:r>
            <w:r w:rsidR="004355A5">
              <w:rPr>
                <w:rFonts w:cs="Calibri"/>
                <w:bCs/>
                <w:i/>
                <w:iCs/>
              </w:rPr>
              <w:t>luding</w:t>
            </w:r>
            <w:r w:rsidR="004355A5" w:rsidRPr="004355A5">
              <w:rPr>
                <w:rFonts w:cs="Calibri"/>
                <w:bCs/>
                <w:i/>
                <w:iCs/>
              </w:rPr>
              <w:t xml:space="preserve"> page number)</w:t>
            </w:r>
          </w:p>
        </w:tc>
        <w:tc>
          <w:tcPr>
            <w:tcW w:w="851" w:type="dxa"/>
            <w:shd w:val="clear" w:color="auto" w:fill="DEEAF6"/>
          </w:tcPr>
          <w:p w14:paraId="1865F2A8" w14:textId="77777777" w:rsidR="00900DC1" w:rsidRPr="00C7466A" w:rsidRDefault="00900DC1" w:rsidP="00900DC1">
            <w:pPr>
              <w:spacing w:after="0" w:line="240" w:lineRule="auto"/>
              <w:rPr>
                <w:rFonts w:cs="Calibri"/>
                <w:b/>
              </w:rPr>
            </w:pPr>
            <w:r w:rsidRPr="00C7466A">
              <w:rPr>
                <w:rFonts w:cs="Calibri"/>
                <w:b/>
              </w:rPr>
              <w:t xml:space="preserve">Current national audit benchmarking standard if there is one </w:t>
            </w:r>
          </w:p>
        </w:tc>
        <w:tc>
          <w:tcPr>
            <w:tcW w:w="948" w:type="dxa"/>
            <w:shd w:val="clear" w:color="auto" w:fill="DEEAF6"/>
          </w:tcPr>
          <w:p w14:paraId="1A1AC437" w14:textId="77777777" w:rsidR="00900DC1" w:rsidRPr="00C7466A" w:rsidRDefault="00900DC1" w:rsidP="00900DC1">
            <w:pPr>
              <w:spacing w:after="0" w:line="240" w:lineRule="auto"/>
              <w:rPr>
                <w:rFonts w:cs="Calibri"/>
                <w:b/>
              </w:rPr>
            </w:pPr>
            <w:r w:rsidRPr="00C7466A">
              <w:rPr>
                <w:b/>
              </w:rPr>
              <w:t>Associated NHS payment levers or incentives’</w:t>
            </w:r>
          </w:p>
        </w:tc>
        <w:tc>
          <w:tcPr>
            <w:tcW w:w="2737" w:type="dxa"/>
            <w:shd w:val="clear" w:color="auto" w:fill="DEEAF6"/>
          </w:tcPr>
          <w:p w14:paraId="0FE639C4" w14:textId="77777777" w:rsidR="00900DC1" w:rsidRPr="00C7466A" w:rsidRDefault="00900DC1" w:rsidP="00900DC1">
            <w:pPr>
              <w:spacing w:after="0" w:line="240" w:lineRule="auto"/>
              <w:rPr>
                <w:rFonts w:cs="Calibri"/>
                <w:b/>
              </w:rPr>
            </w:pPr>
            <w:r w:rsidRPr="00C7466A">
              <w:rPr>
                <w:rFonts w:cs="Calibri"/>
                <w:b/>
              </w:rPr>
              <w:t>Guidance available (for example, NICE guideline)</w:t>
            </w:r>
          </w:p>
        </w:tc>
        <w:tc>
          <w:tcPr>
            <w:tcW w:w="2777" w:type="dxa"/>
            <w:shd w:val="clear" w:color="auto" w:fill="DEEAF6"/>
          </w:tcPr>
          <w:p w14:paraId="0E42C822" w14:textId="0B566360" w:rsidR="00900DC1" w:rsidRPr="00C7466A" w:rsidRDefault="00900DC1" w:rsidP="00900DC1">
            <w:pPr>
              <w:spacing w:after="0" w:line="240" w:lineRule="auto"/>
              <w:rPr>
                <w:rFonts w:cs="Calibri"/>
                <w:b/>
              </w:rPr>
            </w:pPr>
            <w:r w:rsidRPr="00C7466A">
              <w:rPr>
                <w:rFonts w:cs="Calibri"/>
                <w:b/>
              </w:rPr>
              <w:t>% project result if the question previously asked by the project (date asked and result). If not asked before please denote N/A. This is so that there is an indication of whether the result has increased or decreased and over what period of time</w:t>
            </w:r>
          </w:p>
        </w:tc>
      </w:tr>
      <w:tr w:rsidR="00C134E7" w:rsidRPr="00C7466A" w14:paraId="1AC55EB5" w14:textId="77777777" w:rsidTr="00C134E7">
        <w:tc>
          <w:tcPr>
            <w:tcW w:w="625" w:type="dxa"/>
            <w:shd w:val="clear" w:color="auto" w:fill="auto"/>
          </w:tcPr>
          <w:p w14:paraId="595A0D82" w14:textId="741F0FC0" w:rsidR="004355A5" w:rsidRPr="004355A5" w:rsidRDefault="00D77455" w:rsidP="00900DC1">
            <w:pPr>
              <w:spacing w:after="0" w:line="240" w:lineRule="auto"/>
              <w:rPr>
                <w:rFonts w:asciiTheme="minorHAnsi" w:hAnsiTheme="minorHAnsi" w:cstheme="minorHAnsi"/>
              </w:rPr>
            </w:pPr>
            <w:r>
              <w:rPr>
                <w:rFonts w:asciiTheme="minorHAnsi" w:hAnsiTheme="minorHAnsi" w:cstheme="minorHAnsi"/>
              </w:rPr>
              <w:t xml:space="preserve">Rec </w:t>
            </w:r>
            <w:r w:rsidR="00500451">
              <w:rPr>
                <w:rFonts w:asciiTheme="minorHAnsi" w:hAnsiTheme="minorHAnsi" w:cstheme="minorHAnsi"/>
              </w:rPr>
              <w:t>1</w:t>
            </w:r>
          </w:p>
        </w:tc>
        <w:tc>
          <w:tcPr>
            <w:tcW w:w="2244" w:type="dxa"/>
            <w:shd w:val="clear" w:color="auto" w:fill="auto"/>
          </w:tcPr>
          <w:p w14:paraId="723BC2B8" w14:textId="77777777"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t>Integrated care boards and local health boards</w:t>
            </w:r>
          </w:p>
          <w:p w14:paraId="79AA083F" w14:textId="77777777"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t>should mandate all eligible services to participate</w:t>
            </w:r>
          </w:p>
          <w:p w14:paraId="0B0B5F63" w14:textId="77777777"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lastRenderedPageBreak/>
              <w:t>in NRAP to achieve 100% service participation</w:t>
            </w:r>
          </w:p>
          <w:p w14:paraId="4E570E3D" w14:textId="77777777"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t>and a minimum of 50% case ascertainment by</w:t>
            </w:r>
          </w:p>
          <w:p w14:paraId="7CCA199E" w14:textId="77777777"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t>all services in NRAP audits by May 2026. This will</w:t>
            </w:r>
          </w:p>
          <w:p w14:paraId="7045ABF8" w14:textId="5E241586" w:rsidR="0045277C" w:rsidRPr="0045277C" w:rsidRDefault="0045277C" w:rsidP="0045277C">
            <w:pPr>
              <w:spacing w:after="0" w:line="240" w:lineRule="auto"/>
              <w:rPr>
                <w:rFonts w:asciiTheme="minorHAnsi" w:hAnsiTheme="minorHAnsi" w:cstheme="minorHAnsi"/>
              </w:rPr>
            </w:pPr>
            <w:r w:rsidRPr="0045277C">
              <w:rPr>
                <w:rFonts w:asciiTheme="minorHAnsi" w:hAnsiTheme="minorHAnsi" w:cstheme="minorHAnsi"/>
              </w:rPr>
              <w:t xml:space="preserve">require all </w:t>
            </w:r>
            <w:r w:rsidR="007B7F6D">
              <w:rPr>
                <w:rFonts w:asciiTheme="minorHAnsi" w:hAnsiTheme="minorHAnsi" w:cstheme="minorHAnsi"/>
              </w:rPr>
              <w:t>services</w:t>
            </w:r>
            <w:r w:rsidRPr="0045277C">
              <w:rPr>
                <w:rFonts w:asciiTheme="minorHAnsi" w:hAnsiTheme="minorHAnsi" w:cstheme="minorHAnsi"/>
              </w:rPr>
              <w:t xml:space="preserve"> to have named NRAP clinical</w:t>
            </w:r>
          </w:p>
          <w:p w14:paraId="6EC5073F" w14:textId="3BE346C0" w:rsidR="004355A5" w:rsidRPr="004355A5" w:rsidRDefault="0045277C" w:rsidP="0045277C">
            <w:pPr>
              <w:spacing w:after="0" w:line="240" w:lineRule="auto"/>
              <w:rPr>
                <w:rFonts w:asciiTheme="minorHAnsi" w:hAnsiTheme="minorHAnsi" w:cstheme="minorHAnsi"/>
              </w:rPr>
            </w:pPr>
            <w:r w:rsidRPr="0045277C">
              <w:rPr>
                <w:rFonts w:asciiTheme="minorHAnsi" w:hAnsiTheme="minorHAnsi" w:cstheme="minorHAnsi"/>
              </w:rPr>
              <w:t>leadership and dedicated audit support.</w:t>
            </w:r>
          </w:p>
        </w:tc>
        <w:tc>
          <w:tcPr>
            <w:tcW w:w="2046" w:type="dxa"/>
            <w:shd w:val="clear" w:color="auto" w:fill="auto"/>
          </w:tcPr>
          <w:p w14:paraId="3836B409" w14:textId="77777777" w:rsidR="009F2E9F" w:rsidRDefault="009F2E9F" w:rsidP="009F2E9F">
            <w:pPr>
              <w:pStyle w:val="ListParagraph"/>
              <w:numPr>
                <w:ilvl w:val="0"/>
                <w:numId w:val="1"/>
              </w:numPr>
              <w:spacing w:after="0" w:line="240" w:lineRule="auto"/>
              <w:ind w:left="360"/>
              <w:rPr>
                <w:rFonts w:cs="Calibri"/>
              </w:rPr>
            </w:pPr>
            <w:r>
              <w:rPr>
                <w:rFonts w:cs="Calibri"/>
              </w:rPr>
              <w:lastRenderedPageBreak/>
              <w:t>Integrated care boards</w:t>
            </w:r>
          </w:p>
          <w:p w14:paraId="17B3DF9E" w14:textId="2DC6A1B7" w:rsidR="004355A5" w:rsidRPr="009F2E9F" w:rsidRDefault="009F2E9F" w:rsidP="009F2E9F">
            <w:pPr>
              <w:pStyle w:val="ListParagraph"/>
              <w:numPr>
                <w:ilvl w:val="0"/>
                <w:numId w:val="1"/>
              </w:numPr>
              <w:spacing w:after="0" w:line="240" w:lineRule="auto"/>
              <w:ind w:left="360"/>
              <w:rPr>
                <w:rFonts w:cs="Calibri"/>
              </w:rPr>
            </w:pPr>
            <w:r w:rsidRPr="009F2E9F">
              <w:rPr>
                <w:rFonts w:cs="Calibri"/>
              </w:rPr>
              <w:t>Local health boards</w:t>
            </w:r>
          </w:p>
        </w:tc>
        <w:tc>
          <w:tcPr>
            <w:tcW w:w="3160" w:type="dxa"/>
            <w:gridSpan w:val="2"/>
            <w:shd w:val="clear" w:color="auto" w:fill="auto"/>
          </w:tcPr>
          <w:p w14:paraId="6FA955D8" w14:textId="676479EC" w:rsidR="004355A5" w:rsidRDefault="00A357ED" w:rsidP="0045277C">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Recommendation </w:t>
            </w:r>
            <w:r w:rsidR="007B7F90">
              <w:rPr>
                <w:rFonts w:asciiTheme="minorHAnsi" w:hAnsiTheme="minorHAnsi" w:cstheme="minorHAnsi"/>
              </w:rPr>
              <w:t>in</w:t>
            </w:r>
            <w:r>
              <w:rPr>
                <w:rFonts w:asciiTheme="minorHAnsi" w:hAnsiTheme="minorHAnsi" w:cstheme="minorHAnsi"/>
              </w:rPr>
              <w:t xml:space="preserve"> f</w:t>
            </w:r>
            <w:r w:rsidR="0045277C">
              <w:rPr>
                <w:rFonts w:asciiTheme="minorHAnsi" w:hAnsiTheme="minorHAnsi" w:cstheme="minorHAnsi"/>
              </w:rPr>
              <w:t xml:space="preserve">ull report, page </w:t>
            </w:r>
            <w:r>
              <w:rPr>
                <w:rFonts w:asciiTheme="minorHAnsi" w:hAnsiTheme="minorHAnsi" w:cstheme="minorHAnsi"/>
              </w:rPr>
              <w:t>7</w:t>
            </w:r>
          </w:p>
          <w:p w14:paraId="63ABD66B" w14:textId="29E8878F" w:rsidR="00A357ED" w:rsidRDefault="00A357ED" w:rsidP="0045277C">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Evidence </w:t>
            </w:r>
            <w:r w:rsidR="007B7F90">
              <w:rPr>
                <w:rFonts w:asciiTheme="minorHAnsi" w:hAnsiTheme="minorHAnsi" w:cstheme="minorHAnsi"/>
              </w:rPr>
              <w:t>in</w:t>
            </w:r>
            <w:r>
              <w:rPr>
                <w:rFonts w:asciiTheme="minorHAnsi" w:hAnsiTheme="minorHAnsi" w:cstheme="minorHAnsi"/>
              </w:rPr>
              <w:t xml:space="preserve"> full report, page</w:t>
            </w:r>
            <w:r w:rsidR="004A6615">
              <w:rPr>
                <w:rFonts w:asciiTheme="minorHAnsi" w:hAnsiTheme="minorHAnsi" w:cstheme="minorHAnsi"/>
              </w:rPr>
              <w:t xml:space="preserve"> 5:</w:t>
            </w:r>
          </w:p>
          <w:p w14:paraId="3630B20B" w14:textId="69577384" w:rsidR="00C81AA0" w:rsidRPr="00C81AA0" w:rsidRDefault="00C81AA0" w:rsidP="00094488">
            <w:pPr>
              <w:pStyle w:val="ListParagraph"/>
              <w:numPr>
                <w:ilvl w:val="0"/>
                <w:numId w:val="6"/>
              </w:numPr>
              <w:rPr>
                <w:rFonts w:asciiTheme="minorHAnsi" w:hAnsiTheme="minorHAnsi" w:cstheme="minorHAnsi"/>
              </w:rPr>
            </w:pPr>
            <w:r w:rsidRPr="00C81AA0">
              <w:rPr>
                <w:rFonts w:asciiTheme="minorHAnsi" w:hAnsiTheme="minorHAnsi" w:cstheme="minorHAnsi"/>
              </w:rPr>
              <w:t xml:space="preserve">This report compiles data from services </w:t>
            </w:r>
            <w:r w:rsidRPr="00C81AA0">
              <w:rPr>
                <w:rFonts w:asciiTheme="minorHAnsi" w:hAnsiTheme="minorHAnsi" w:cstheme="minorHAnsi"/>
              </w:rPr>
              <w:lastRenderedPageBreak/>
              <w:t>across England</w:t>
            </w:r>
            <w:r>
              <w:rPr>
                <w:rFonts w:asciiTheme="minorHAnsi" w:hAnsiTheme="minorHAnsi" w:cstheme="minorHAnsi"/>
              </w:rPr>
              <w:t xml:space="preserve"> </w:t>
            </w:r>
            <w:r w:rsidRPr="00C81AA0">
              <w:rPr>
                <w:rFonts w:asciiTheme="minorHAnsi" w:hAnsiTheme="minorHAnsi" w:cstheme="minorHAnsi"/>
              </w:rPr>
              <w:t>and Wales in the NRAP, covering 129,044 case records of people with asthma and COPD admitted to hospital with an exacerbation or assessed for pulmonary</w:t>
            </w:r>
            <w:r w:rsidR="00094488">
              <w:rPr>
                <w:rFonts w:asciiTheme="minorHAnsi" w:hAnsiTheme="minorHAnsi" w:cstheme="minorHAnsi"/>
              </w:rPr>
              <w:t xml:space="preserve"> </w:t>
            </w:r>
            <w:r w:rsidRPr="00C81AA0">
              <w:rPr>
                <w:rFonts w:asciiTheme="minorHAnsi" w:hAnsiTheme="minorHAnsi" w:cstheme="minorHAnsi"/>
              </w:rPr>
              <w:t>rehabilitation</w:t>
            </w:r>
            <w:r w:rsidR="00094488">
              <w:rPr>
                <w:rFonts w:asciiTheme="minorHAnsi" w:hAnsiTheme="minorHAnsi" w:cstheme="minorHAnsi"/>
              </w:rPr>
              <w:t>.</w:t>
            </w:r>
          </w:p>
          <w:p w14:paraId="0D50F7B2" w14:textId="4461C8A0" w:rsidR="0045277C" w:rsidRDefault="0045277C" w:rsidP="0045277C">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Case ascertainment figures</w:t>
            </w:r>
            <w:r w:rsidR="004761CD">
              <w:rPr>
                <w:rFonts w:asciiTheme="minorHAnsi" w:hAnsiTheme="minorHAnsi" w:cstheme="minorHAnsi"/>
              </w:rPr>
              <w:t xml:space="preserve"> (TBC)</w:t>
            </w:r>
          </w:p>
          <w:p w14:paraId="6A96813E" w14:textId="4C391141" w:rsidR="00727681" w:rsidRPr="00C03678" w:rsidRDefault="00727681" w:rsidP="00C03678">
            <w:pPr>
              <w:spacing w:after="0" w:line="240" w:lineRule="auto"/>
              <w:rPr>
                <w:rFonts w:asciiTheme="minorHAnsi" w:hAnsiTheme="minorHAnsi" w:cstheme="minorHAnsi"/>
              </w:rPr>
            </w:pPr>
          </w:p>
        </w:tc>
        <w:tc>
          <w:tcPr>
            <w:tcW w:w="851" w:type="dxa"/>
            <w:shd w:val="clear" w:color="auto" w:fill="auto"/>
          </w:tcPr>
          <w:p w14:paraId="2AE9275A" w14:textId="77777777" w:rsidR="004355A5" w:rsidRPr="004355A5" w:rsidRDefault="004355A5" w:rsidP="00900DC1">
            <w:pPr>
              <w:spacing w:after="0" w:line="240" w:lineRule="auto"/>
              <w:rPr>
                <w:rFonts w:asciiTheme="minorHAnsi" w:hAnsiTheme="minorHAnsi" w:cstheme="minorHAnsi"/>
              </w:rPr>
            </w:pPr>
          </w:p>
        </w:tc>
        <w:tc>
          <w:tcPr>
            <w:tcW w:w="948" w:type="dxa"/>
            <w:shd w:val="clear" w:color="auto" w:fill="auto"/>
          </w:tcPr>
          <w:p w14:paraId="4D977CE3" w14:textId="7AC5BA15" w:rsidR="004355A5" w:rsidRPr="00D40DBD" w:rsidRDefault="004355A5" w:rsidP="00900DC1">
            <w:pPr>
              <w:spacing w:after="0" w:line="240" w:lineRule="auto"/>
              <w:rPr>
                <w:rFonts w:asciiTheme="minorHAnsi" w:hAnsiTheme="minorHAnsi" w:cstheme="minorHAnsi"/>
                <w:color w:val="FF0000"/>
              </w:rPr>
            </w:pPr>
          </w:p>
        </w:tc>
        <w:tc>
          <w:tcPr>
            <w:tcW w:w="2737" w:type="dxa"/>
            <w:shd w:val="clear" w:color="auto" w:fill="auto"/>
          </w:tcPr>
          <w:p w14:paraId="479EFE76" w14:textId="57E3B3AE" w:rsidR="004355A5" w:rsidRPr="00D40DBD" w:rsidRDefault="00637895" w:rsidP="00900DC1">
            <w:pPr>
              <w:spacing w:after="0" w:line="240" w:lineRule="auto"/>
              <w:rPr>
                <w:rFonts w:asciiTheme="minorHAnsi" w:hAnsiTheme="minorHAnsi" w:cstheme="minorHAnsi"/>
                <w:color w:val="FF0000"/>
              </w:rPr>
            </w:pPr>
            <w:r w:rsidRPr="00637895">
              <w:rPr>
                <w:rFonts w:asciiTheme="minorHAnsi" w:hAnsiTheme="minorHAnsi" w:cstheme="minorHAnsi"/>
              </w:rPr>
              <w:t>N/A</w:t>
            </w:r>
          </w:p>
        </w:tc>
        <w:tc>
          <w:tcPr>
            <w:tcW w:w="2777" w:type="dxa"/>
          </w:tcPr>
          <w:p w14:paraId="19FCA453" w14:textId="77777777" w:rsidR="0030157D" w:rsidRPr="002F1158" w:rsidRDefault="0030157D" w:rsidP="00900DC1">
            <w:pPr>
              <w:spacing w:after="0" w:line="240" w:lineRule="auto"/>
              <w:rPr>
                <w:rFonts w:asciiTheme="minorHAnsi" w:hAnsiTheme="minorHAnsi" w:cstheme="minorHAnsi"/>
              </w:rPr>
            </w:pPr>
            <w:r w:rsidRPr="002F1158">
              <w:rPr>
                <w:rFonts w:asciiTheme="minorHAnsi" w:hAnsiTheme="minorHAnsi" w:cstheme="minorHAnsi"/>
              </w:rPr>
              <w:t>2022-23</w:t>
            </w:r>
            <w:r w:rsidR="009712EE" w:rsidRPr="002F1158">
              <w:rPr>
                <w:rFonts w:asciiTheme="minorHAnsi" w:hAnsiTheme="minorHAnsi" w:cstheme="minorHAnsi"/>
              </w:rPr>
              <w:t xml:space="preserve"> case ascertainment: </w:t>
            </w:r>
          </w:p>
          <w:p w14:paraId="0EC87458" w14:textId="38029B50" w:rsidR="009712EE" w:rsidRPr="002F1158" w:rsidRDefault="009712EE" w:rsidP="00726F26">
            <w:pPr>
              <w:pStyle w:val="ListParagraph"/>
              <w:numPr>
                <w:ilvl w:val="0"/>
                <w:numId w:val="14"/>
              </w:numPr>
              <w:spacing w:after="0" w:line="240" w:lineRule="auto"/>
              <w:rPr>
                <w:rFonts w:asciiTheme="minorHAnsi" w:hAnsiTheme="minorHAnsi" w:cstheme="minorHAnsi"/>
              </w:rPr>
            </w:pPr>
            <w:r w:rsidRPr="002F1158">
              <w:rPr>
                <w:rFonts w:asciiTheme="minorHAnsi" w:hAnsiTheme="minorHAnsi" w:cstheme="minorHAnsi"/>
              </w:rPr>
              <w:t xml:space="preserve">COPD </w:t>
            </w:r>
            <w:r w:rsidR="00FC4019" w:rsidRPr="002F1158">
              <w:rPr>
                <w:rFonts w:asciiTheme="minorHAnsi" w:hAnsiTheme="minorHAnsi" w:cstheme="minorHAnsi"/>
              </w:rPr>
              <w:t xml:space="preserve">– 54.4% </w:t>
            </w:r>
          </w:p>
          <w:p w14:paraId="410150FD" w14:textId="53CE596E" w:rsidR="009712EE" w:rsidRPr="002F1158" w:rsidRDefault="009712EE" w:rsidP="00726F26">
            <w:pPr>
              <w:pStyle w:val="ListParagraph"/>
              <w:numPr>
                <w:ilvl w:val="0"/>
                <w:numId w:val="14"/>
              </w:numPr>
              <w:spacing w:after="0" w:line="240" w:lineRule="auto"/>
              <w:rPr>
                <w:rFonts w:asciiTheme="minorHAnsi" w:hAnsiTheme="minorHAnsi" w:cstheme="minorHAnsi"/>
              </w:rPr>
            </w:pPr>
            <w:r w:rsidRPr="002F1158">
              <w:rPr>
                <w:rFonts w:asciiTheme="minorHAnsi" w:hAnsiTheme="minorHAnsi" w:cstheme="minorHAnsi"/>
              </w:rPr>
              <w:t xml:space="preserve">Adult asthma </w:t>
            </w:r>
            <w:r w:rsidR="00244155" w:rsidRPr="002F1158">
              <w:rPr>
                <w:rFonts w:asciiTheme="minorHAnsi" w:hAnsiTheme="minorHAnsi" w:cstheme="minorHAnsi"/>
              </w:rPr>
              <w:t>–</w:t>
            </w:r>
            <w:r w:rsidR="00FC4019" w:rsidRPr="002F1158">
              <w:rPr>
                <w:rFonts w:asciiTheme="minorHAnsi" w:hAnsiTheme="minorHAnsi" w:cstheme="minorHAnsi"/>
              </w:rPr>
              <w:t xml:space="preserve"> </w:t>
            </w:r>
            <w:r w:rsidR="00244155" w:rsidRPr="002F1158">
              <w:rPr>
                <w:rFonts w:asciiTheme="minorHAnsi" w:hAnsiTheme="minorHAnsi" w:cstheme="minorHAnsi"/>
              </w:rPr>
              <w:t xml:space="preserve">45.1% </w:t>
            </w:r>
          </w:p>
          <w:p w14:paraId="0C5C41DC" w14:textId="77777777" w:rsidR="0099337A" w:rsidRDefault="009712EE" w:rsidP="0099337A">
            <w:pPr>
              <w:pStyle w:val="ListParagraph"/>
              <w:numPr>
                <w:ilvl w:val="0"/>
                <w:numId w:val="14"/>
              </w:numPr>
              <w:spacing w:after="0" w:line="240" w:lineRule="auto"/>
              <w:rPr>
                <w:rFonts w:asciiTheme="minorHAnsi" w:hAnsiTheme="minorHAnsi" w:cstheme="minorHAnsi"/>
              </w:rPr>
            </w:pPr>
            <w:r w:rsidRPr="002F1158">
              <w:rPr>
                <w:rFonts w:asciiTheme="minorHAnsi" w:hAnsiTheme="minorHAnsi" w:cstheme="minorHAnsi"/>
              </w:rPr>
              <w:lastRenderedPageBreak/>
              <w:t xml:space="preserve">Children and young people’s asthma </w:t>
            </w:r>
            <w:r w:rsidR="00244155" w:rsidRPr="002F1158">
              <w:rPr>
                <w:rFonts w:asciiTheme="minorHAnsi" w:hAnsiTheme="minorHAnsi" w:cstheme="minorHAnsi"/>
              </w:rPr>
              <w:t xml:space="preserve">– 67.5% </w:t>
            </w:r>
          </w:p>
          <w:p w14:paraId="3994C138" w14:textId="7CB6D026" w:rsidR="009712EE" w:rsidRPr="0099337A" w:rsidRDefault="009712EE" w:rsidP="0099337A">
            <w:pPr>
              <w:pStyle w:val="ListParagraph"/>
              <w:numPr>
                <w:ilvl w:val="0"/>
                <w:numId w:val="14"/>
              </w:numPr>
              <w:spacing w:after="0" w:line="240" w:lineRule="auto"/>
              <w:rPr>
                <w:rFonts w:asciiTheme="minorHAnsi" w:hAnsiTheme="minorHAnsi" w:cstheme="minorHAnsi"/>
              </w:rPr>
            </w:pPr>
            <w:r w:rsidRPr="0099337A">
              <w:rPr>
                <w:rFonts w:asciiTheme="minorHAnsi" w:hAnsiTheme="minorHAnsi" w:cstheme="minorHAnsi"/>
              </w:rPr>
              <w:t>Pulmonary rehabilitation</w:t>
            </w:r>
            <w:r w:rsidR="00244155" w:rsidRPr="0099337A">
              <w:rPr>
                <w:rFonts w:asciiTheme="minorHAnsi" w:hAnsiTheme="minorHAnsi" w:cstheme="minorHAnsi"/>
              </w:rPr>
              <w:t xml:space="preserve"> – 76.1% </w:t>
            </w:r>
          </w:p>
        </w:tc>
      </w:tr>
      <w:tr w:rsidR="00C134E7" w:rsidRPr="00C7466A" w14:paraId="2AF06603" w14:textId="77777777" w:rsidTr="00C134E7">
        <w:tc>
          <w:tcPr>
            <w:tcW w:w="625" w:type="dxa"/>
            <w:shd w:val="clear" w:color="auto" w:fill="auto"/>
          </w:tcPr>
          <w:p w14:paraId="782C36FD" w14:textId="7645CF14" w:rsidR="004355A5" w:rsidRPr="004355A5" w:rsidRDefault="00D77455" w:rsidP="00900DC1">
            <w:pPr>
              <w:spacing w:after="0" w:line="240" w:lineRule="auto"/>
              <w:rPr>
                <w:rFonts w:asciiTheme="minorHAnsi" w:hAnsiTheme="minorHAnsi" w:cstheme="minorHAnsi"/>
              </w:rPr>
            </w:pPr>
            <w:r>
              <w:rPr>
                <w:rFonts w:asciiTheme="minorHAnsi" w:hAnsiTheme="minorHAnsi" w:cstheme="minorHAnsi"/>
              </w:rPr>
              <w:lastRenderedPageBreak/>
              <w:t xml:space="preserve">Rec </w:t>
            </w:r>
            <w:r w:rsidR="00500451">
              <w:rPr>
                <w:rFonts w:asciiTheme="minorHAnsi" w:hAnsiTheme="minorHAnsi" w:cstheme="minorHAnsi"/>
              </w:rPr>
              <w:t>2</w:t>
            </w:r>
          </w:p>
        </w:tc>
        <w:tc>
          <w:tcPr>
            <w:tcW w:w="2244" w:type="dxa"/>
            <w:shd w:val="clear" w:color="auto" w:fill="auto"/>
          </w:tcPr>
          <w:p w14:paraId="534671A2" w14:textId="1C34AE4F" w:rsidR="004355A5" w:rsidRPr="00C52B93" w:rsidRDefault="00C52B93" w:rsidP="00900DC1">
            <w:pPr>
              <w:spacing w:after="0" w:line="240" w:lineRule="auto"/>
              <w:rPr>
                <w:rFonts w:asciiTheme="minorHAnsi" w:hAnsiTheme="minorHAnsi" w:cstheme="minorHAnsi"/>
              </w:rPr>
            </w:pPr>
            <w:r w:rsidRPr="00C52B93">
              <w:rPr>
                <w:rFonts w:asciiTheme="minorHAnsi" w:hAnsiTheme="minorHAnsi" w:cstheme="minorHAnsi"/>
              </w:rPr>
              <w:t>The British Thoracic Society, as the expert body, should lead the development of a standardised acute care bundle for patients with asthma and COPD on arrival to hospital, working towards May 2026. This should involve consultation with other bodies such as the Royal College of Emergency Medicine, Society for Acute Medicine, and NRAP. NRAP will measure the implementation of the acute care bundle by tracking the percentage of patients receiving timely and optimal care.</w:t>
            </w:r>
          </w:p>
        </w:tc>
        <w:tc>
          <w:tcPr>
            <w:tcW w:w="2046" w:type="dxa"/>
            <w:shd w:val="clear" w:color="auto" w:fill="auto"/>
          </w:tcPr>
          <w:p w14:paraId="4308F107" w14:textId="77777777" w:rsidR="004355A5" w:rsidRDefault="00917160" w:rsidP="00917160">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The British Thoracic Society </w:t>
            </w:r>
          </w:p>
          <w:p w14:paraId="0FC0FA17" w14:textId="77777777" w:rsidR="00917160" w:rsidRDefault="00917160" w:rsidP="00917160">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Royal College of Emergency Medicine </w:t>
            </w:r>
          </w:p>
          <w:p w14:paraId="1F82DEE6" w14:textId="77777777" w:rsidR="00917160" w:rsidRDefault="00917160" w:rsidP="00917160">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Society for Acute Medicine </w:t>
            </w:r>
          </w:p>
          <w:p w14:paraId="50823914" w14:textId="6B91F4B3" w:rsidR="00917160" w:rsidRPr="002B3031" w:rsidRDefault="00917160" w:rsidP="002B3031">
            <w:pPr>
              <w:spacing w:after="0" w:line="240" w:lineRule="auto"/>
              <w:ind w:left="360"/>
              <w:rPr>
                <w:rFonts w:asciiTheme="minorHAnsi" w:hAnsiTheme="minorHAnsi" w:cstheme="minorHAnsi"/>
              </w:rPr>
            </w:pPr>
          </w:p>
        </w:tc>
        <w:tc>
          <w:tcPr>
            <w:tcW w:w="3160" w:type="dxa"/>
            <w:gridSpan w:val="2"/>
            <w:shd w:val="clear" w:color="auto" w:fill="auto"/>
          </w:tcPr>
          <w:p w14:paraId="33AC1FA9" w14:textId="2F1918BD" w:rsidR="004355A5" w:rsidRDefault="00752A6C" w:rsidP="00752A6C">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 xml:space="preserve">Full report, page </w:t>
            </w:r>
            <w:r w:rsidR="005B7D94">
              <w:rPr>
                <w:rFonts w:asciiTheme="minorHAnsi" w:hAnsiTheme="minorHAnsi" w:cstheme="minorHAnsi"/>
              </w:rPr>
              <w:t xml:space="preserve">8 &amp; </w:t>
            </w:r>
            <w:r w:rsidR="00001A2A">
              <w:rPr>
                <w:rFonts w:asciiTheme="minorHAnsi" w:hAnsiTheme="minorHAnsi" w:cstheme="minorHAnsi"/>
              </w:rPr>
              <w:t>9</w:t>
            </w:r>
          </w:p>
          <w:p w14:paraId="167D708C" w14:textId="77777777" w:rsidR="00752A6C" w:rsidRDefault="009E711D" w:rsidP="00752A6C">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 xml:space="preserve">20% of </w:t>
            </w:r>
            <w:r w:rsidR="00811124">
              <w:rPr>
                <w:rFonts w:asciiTheme="minorHAnsi" w:hAnsiTheme="minorHAnsi" w:cstheme="minorHAnsi"/>
              </w:rPr>
              <w:t>adults with asthma received system</w:t>
            </w:r>
            <w:r w:rsidR="00681EEE">
              <w:rPr>
                <w:rFonts w:asciiTheme="minorHAnsi" w:hAnsiTheme="minorHAnsi" w:cstheme="minorHAnsi"/>
              </w:rPr>
              <w:t xml:space="preserve">ic steroids within 1 hour of arrival </w:t>
            </w:r>
          </w:p>
          <w:p w14:paraId="45A5430B" w14:textId="77777777" w:rsidR="00681EEE" w:rsidRDefault="00681EEE" w:rsidP="00752A6C">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10% of adults with asthma have peak flow (PEF)</w:t>
            </w:r>
            <w:r w:rsidR="00D32136">
              <w:rPr>
                <w:rFonts w:asciiTheme="minorHAnsi" w:hAnsiTheme="minorHAnsi" w:cstheme="minorHAnsi"/>
              </w:rPr>
              <w:t xml:space="preserve"> recorded within 1 hour of arrival </w:t>
            </w:r>
          </w:p>
          <w:p w14:paraId="3EA40363" w14:textId="77777777" w:rsidR="00D32136" w:rsidRDefault="00D32136" w:rsidP="00752A6C">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 xml:space="preserve">36% of </w:t>
            </w:r>
            <w:r w:rsidR="00217262">
              <w:rPr>
                <w:rFonts w:asciiTheme="minorHAnsi" w:hAnsiTheme="minorHAnsi" w:cstheme="minorHAnsi"/>
              </w:rPr>
              <w:t xml:space="preserve">children and young people (CYP) with asthma </w:t>
            </w:r>
            <w:r w:rsidR="00FD08DC">
              <w:rPr>
                <w:rFonts w:asciiTheme="minorHAnsi" w:hAnsiTheme="minorHAnsi" w:cstheme="minorHAnsi"/>
              </w:rPr>
              <w:t>were administered steroids within 1 hour of arrival</w:t>
            </w:r>
          </w:p>
          <w:p w14:paraId="2ED49D51" w14:textId="5B1A904F" w:rsidR="00FD08DC" w:rsidRPr="00752A6C" w:rsidRDefault="00FD08DC" w:rsidP="00752A6C">
            <w:pPr>
              <w:pStyle w:val="ListParagraph"/>
              <w:numPr>
                <w:ilvl w:val="0"/>
                <w:numId w:val="10"/>
              </w:numPr>
              <w:spacing w:after="0" w:line="240" w:lineRule="auto"/>
              <w:rPr>
                <w:rFonts w:asciiTheme="minorHAnsi" w:hAnsiTheme="minorHAnsi" w:cstheme="minorHAnsi"/>
              </w:rPr>
            </w:pPr>
            <w:r>
              <w:rPr>
                <w:rFonts w:asciiTheme="minorHAnsi" w:hAnsiTheme="minorHAnsi" w:cstheme="minorHAnsi"/>
              </w:rPr>
              <w:t xml:space="preserve">18% of people with COPD received </w:t>
            </w:r>
            <w:r w:rsidR="004C6401">
              <w:rPr>
                <w:rFonts w:asciiTheme="minorHAnsi" w:hAnsiTheme="minorHAnsi" w:cstheme="minorHAnsi"/>
              </w:rPr>
              <w:t>non-invasive ventilation (NIV) within 2 hours of arrival at hospital</w:t>
            </w:r>
          </w:p>
        </w:tc>
        <w:tc>
          <w:tcPr>
            <w:tcW w:w="851" w:type="dxa"/>
            <w:shd w:val="clear" w:color="auto" w:fill="auto"/>
          </w:tcPr>
          <w:p w14:paraId="2DA3F93B" w14:textId="77777777" w:rsidR="004355A5" w:rsidRPr="004355A5" w:rsidRDefault="004355A5" w:rsidP="00900DC1">
            <w:pPr>
              <w:spacing w:after="0" w:line="240" w:lineRule="auto"/>
              <w:rPr>
                <w:rFonts w:asciiTheme="minorHAnsi" w:hAnsiTheme="minorHAnsi" w:cstheme="minorHAnsi"/>
              </w:rPr>
            </w:pPr>
          </w:p>
        </w:tc>
        <w:tc>
          <w:tcPr>
            <w:tcW w:w="948" w:type="dxa"/>
            <w:shd w:val="clear" w:color="auto" w:fill="auto"/>
          </w:tcPr>
          <w:p w14:paraId="069D06E2" w14:textId="77777777" w:rsidR="004355A5" w:rsidRPr="004355A5" w:rsidRDefault="004355A5" w:rsidP="00900DC1">
            <w:pPr>
              <w:spacing w:after="0" w:line="240" w:lineRule="auto"/>
              <w:rPr>
                <w:rFonts w:asciiTheme="minorHAnsi" w:hAnsiTheme="minorHAnsi" w:cstheme="minorHAnsi"/>
              </w:rPr>
            </w:pPr>
          </w:p>
        </w:tc>
        <w:tc>
          <w:tcPr>
            <w:tcW w:w="2737" w:type="dxa"/>
            <w:shd w:val="clear" w:color="auto" w:fill="auto"/>
          </w:tcPr>
          <w:p w14:paraId="51F7E001" w14:textId="22D23A6D" w:rsidR="004355A5" w:rsidRPr="00DD7ACF" w:rsidRDefault="00441615" w:rsidP="00DD7ACF">
            <w:pPr>
              <w:spacing w:after="0" w:line="240" w:lineRule="auto"/>
              <w:rPr>
                <w:rFonts w:asciiTheme="minorHAnsi" w:hAnsiTheme="minorHAnsi" w:cstheme="minorHAnsi"/>
              </w:rPr>
            </w:pPr>
            <w:hyperlink r:id="rId10" w:history="1">
              <w:r w:rsidRPr="00DD7ACF">
                <w:rPr>
                  <w:rStyle w:val="Hyperlink"/>
                  <w:rFonts w:asciiTheme="minorHAnsi" w:hAnsiTheme="minorHAnsi" w:cstheme="minorHAnsi"/>
                  <w:b/>
                  <w:bCs/>
                </w:rPr>
                <w:t>BTS</w:t>
              </w:r>
              <w:r w:rsidR="001E24AD" w:rsidRPr="00DD7ACF">
                <w:rPr>
                  <w:rStyle w:val="Hyperlink"/>
                  <w:rFonts w:asciiTheme="minorHAnsi" w:hAnsiTheme="minorHAnsi" w:cstheme="minorHAnsi"/>
                  <w:b/>
                  <w:bCs/>
                </w:rPr>
                <w:t>/NICE/SIGN</w:t>
              </w:r>
              <w:r w:rsidRPr="00DD7ACF">
                <w:rPr>
                  <w:rStyle w:val="Hyperlink"/>
                  <w:rFonts w:asciiTheme="minorHAnsi" w:hAnsiTheme="minorHAnsi" w:cstheme="minorHAnsi"/>
                  <w:b/>
                  <w:bCs/>
                </w:rPr>
                <w:t>:</w:t>
              </w:r>
            </w:hyperlink>
            <w:r w:rsidRPr="00DD7ACF">
              <w:rPr>
                <w:rFonts w:asciiTheme="minorHAnsi" w:hAnsiTheme="minorHAnsi" w:cstheme="minorHAnsi"/>
              </w:rPr>
              <w:t xml:space="preserve"> </w:t>
            </w:r>
            <w:r w:rsidR="00673CE8" w:rsidRPr="00DD7ACF">
              <w:rPr>
                <w:rFonts w:asciiTheme="minorHAnsi" w:hAnsiTheme="minorHAnsi" w:cstheme="minorHAnsi"/>
              </w:rPr>
              <w:t>British Thoracic Society</w:t>
            </w:r>
            <w:r w:rsidR="00A905E5" w:rsidRPr="00DD7ACF">
              <w:rPr>
                <w:rFonts w:asciiTheme="minorHAnsi" w:hAnsiTheme="minorHAnsi" w:cstheme="minorHAnsi"/>
              </w:rPr>
              <w:t xml:space="preserve"> (BTS), National Institute for Health and Care Excellence (NICE) and Scottish Intercollegiate Guidelines Network</w:t>
            </w:r>
            <w:r w:rsidR="00C731B6" w:rsidRPr="00DD7ACF">
              <w:rPr>
                <w:rFonts w:asciiTheme="minorHAnsi" w:hAnsiTheme="minorHAnsi" w:cstheme="minorHAnsi"/>
              </w:rPr>
              <w:t xml:space="preserve"> </w:t>
            </w:r>
            <w:r w:rsidR="00A905E5" w:rsidRPr="00DD7ACF">
              <w:rPr>
                <w:rFonts w:asciiTheme="minorHAnsi" w:hAnsiTheme="minorHAnsi" w:cstheme="minorHAnsi"/>
              </w:rPr>
              <w:t>(</w:t>
            </w:r>
            <w:r w:rsidR="00C731B6" w:rsidRPr="00DD7ACF">
              <w:rPr>
                <w:rFonts w:asciiTheme="minorHAnsi" w:hAnsiTheme="minorHAnsi" w:cstheme="minorHAnsi"/>
              </w:rPr>
              <w:t>SIGN</w:t>
            </w:r>
            <w:r w:rsidR="00A905E5" w:rsidRPr="00DD7ACF">
              <w:rPr>
                <w:rFonts w:asciiTheme="minorHAnsi" w:hAnsiTheme="minorHAnsi" w:cstheme="minorHAnsi"/>
              </w:rPr>
              <w:t>)</w:t>
            </w:r>
            <w:r w:rsidR="00C731B6" w:rsidRPr="00DD7ACF">
              <w:rPr>
                <w:rFonts w:asciiTheme="minorHAnsi" w:hAnsiTheme="minorHAnsi" w:cstheme="minorHAnsi"/>
              </w:rPr>
              <w:t xml:space="preserve"> guideline</w:t>
            </w:r>
            <w:r w:rsidR="00C126D6" w:rsidRPr="00DD7ACF">
              <w:rPr>
                <w:rFonts w:asciiTheme="minorHAnsi" w:hAnsiTheme="minorHAnsi" w:cstheme="minorHAnsi"/>
              </w:rPr>
              <w:t xml:space="preserve"> on Asthma: diagnosis, monitoring, and chronic asthma management </w:t>
            </w:r>
            <w:r w:rsidR="00C731B6" w:rsidRPr="00DD7ACF">
              <w:rPr>
                <w:rFonts w:asciiTheme="minorHAnsi" w:hAnsiTheme="minorHAnsi" w:cstheme="minorHAnsi"/>
              </w:rPr>
              <w:t xml:space="preserve"> </w:t>
            </w:r>
          </w:p>
          <w:p w14:paraId="0E302BF7" w14:textId="77777777" w:rsidR="00B00DDD" w:rsidRDefault="00B00DDD" w:rsidP="00B00DDD">
            <w:pPr>
              <w:spacing w:after="0" w:line="240" w:lineRule="auto"/>
              <w:rPr>
                <w:rFonts w:asciiTheme="minorHAnsi" w:hAnsiTheme="minorHAnsi" w:cstheme="minorHAnsi"/>
                <w:b/>
                <w:bCs/>
                <w:u w:val="single"/>
              </w:rPr>
            </w:pPr>
          </w:p>
          <w:p w14:paraId="267DFC27" w14:textId="0BEC9581" w:rsidR="00E91E9A" w:rsidRPr="00B00DDD" w:rsidRDefault="00441615" w:rsidP="00B00DDD">
            <w:pPr>
              <w:spacing w:after="0" w:line="240" w:lineRule="auto"/>
              <w:rPr>
                <w:rFonts w:asciiTheme="minorHAnsi" w:hAnsiTheme="minorHAnsi" w:cstheme="minorHAnsi"/>
              </w:rPr>
            </w:pPr>
            <w:hyperlink r:id="rId11" w:history="1">
              <w:r w:rsidRPr="00B00DDD">
                <w:rPr>
                  <w:rStyle w:val="Hyperlink"/>
                  <w:rFonts w:asciiTheme="minorHAnsi" w:hAnsiTheme="minorHAnsi" w:cstheme="minorHAnsi"/>
                  <w:b/>
                  <w:bCs/>
                </w:rPr>
                <w:t>BTS:</w:t>
              </w:r>
            </w:hyperlink>
            <w:r w:rsidRPr="00B00DDD">
              <w:rPr>
                <w:rFonts w:asciiTheme="minorHAnsi" w:hAnsiTheme="minorHAnsi" w:cstheme="minorHAnsi"/>
              </w:rPr>
              <w:t xml:space="preserve"> </w:t>
            </w:r>
            <w:r w:rsidR="00E91E9A" w:rsidRPr="00B00DDD">
              <w:rPr>
                <w:rFonts w:asciiTheme="minorHAnsi" w:hAnsiTheme="minorHAnsi" w:cstheme="minorHAnsi"/>
              </w:rPr>
              <w:t>British Thoracic Society Quality Standards for acute non-invasive ventilation in adults</w:t>
            </w:r>
          </w:p>
          <w:p w14:paraId="752A5378" w14:textId="77777777" w:rsidR="00B00DDD" w:rsidRDefault="00B00DDD" w:rsidP="00B00DDD">
            <w:pPr>
              <w:spacing w:after="0" w:line="240" w:lineRule="auto"/>
              <w:rPr>
                <w:rFonts w:asciiTheme="minorHAnsi" w:hAnsiTheme="minorHAnsi" w:cstheme="minorHAnsi"/>
                <w:highlight w:val="yellow"/>
              </w:rPr>
            </w:pPr>
          </w:p>
          <w:p w14:paraId="511DB34A" w14:textId="358DB7BD" w:rsidR="005C42E7" w:rsidRPr="00D5285C" w:rsidRDefault="005C42E7" w:rsidP="00920B10">
            <w:pPr>
              <w:spacing w:after="0" w:line="240" w:lineRule="auto"/>
              <w:rPr>
                <w:rFonts w:asciiTheme="minorHAnsi" w:hAnsiTheme="minorHAnsi" w:cstheme="minorHAnsi"/>
              </w:rPr>
            </w:pPr>
          </w:p>
        </w:tc>
        <w:tc>
          <w:tcPr>
            <w:tcW w:w="2777" w:type="dxa"/>
          </w:tcPr>
          <w:p w14:paraId="6DDA21ED" w14:textId="77777777" w:rsidR="00405ECD" w:rsidRDefault="00405ECD" w:rsidP="00405ECD">
            <w:pPr>
              <w:spacing w:after="0" w:line="240" w:lineRule="auto"/>
              <w:rPr>
                <w:rFonts w:asciiTheme="minorHAnsi" w:hAnsiTheme="minorHAnsi" w:cstheme="minorHAnsi"/>
              </w:rPr>
            </w:pPr>
            <w:r w:rsidRPr="001F5132">
              <w:rPr>
                <w:rFonts w:asciiTheme="minorHAnsi" w:hAnsiTheme="minorHAnsi" w:cstheme="minorHAnsi"/>
              </w:rPr>
              <w:t>The report shows the reported data for 2023-24, 2022-23,</w:t>
            </w:r>
            <w:r>
              <w:rPr>
                <w:rFonts w:asciiTheme="minorHAnsi" w:hAnsiTheme="minorHAnsi" w:cstheme="minorHAnsi"/>
              </w:rPr>
              <w:t xml:space="preserve"> and 2021-22. Please note that 2023-24, 2022-23, and 2021-22 </w:t>
            </w:r>
            <w:r w:rsidRPr="000A78ED">
              <w:rPr>
                <w:rFonts w:asciiTheme="minorHAnsi" w:hAnsiTheme="minorHAnsi" w:cstheme="minorHAnsi"/>
                <w:b/>
                <w:bCs/>
              </w:rPr>
              <w:t>figures are not directly comparable as methodology, definitions, and criteria surrounding data collection have changed over time.</w:t>
            </w:r>
          </w:p>
          <w:p w14:paraId="20A3836E" w14:textId="77777777" w:rsidR="004355A5" w:rsidRDefault="000720B7"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w:t>
            </w:r>
            <w:r w:rsidR="003C111C">
              <w:rPr>
                <w:rFonts w:asciiTheme="minorHAnsi" w:hAnsiTheme="minorHAnsi" w:cstheme="minorHAnsi"/>
              </w:rPr>
              <w:t>022-23: 21% of adults with asthma received systemic steroids within 1 hour of arrival</w:t>
            </w:r>
          </w:p>
          <w:p w14:paraId="3ADF5DDB" w14:textId="77777777" w:rsidR="003C111C" w:rsidRDefault="003C111C"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2021-22: 23%</w:t>
            </w:r>
            <w:r w:rsidR="00A6641E">
              <w:rPr>
                <w:rFonts w:asciiTheme="minorHAnsi" w:hAnsiTheme="minorHAnsi" w:cstheme="minorHAnsi"/>
              </w:rPr>
              <w:t xml:space="preserve"> of adults with asthma received systemic steroids within 1 hour of arrival</w:t>
            </w:r>
          </w:p>
          <w:p w14:paraId="601F6945" w14:textId="7307B55E" w:rsidR="001F5132" w:rsidRPr="00273503" w:rsidRDefault="00273503" w:rsidP="00273503">
            <w:pPr>
              <w:spacing w:after="0" w:line="240" w:lineRule="auto"/>
              <w:rPr>
                <w:rFonts w:asciiTheme="minorHAnsi" w:hAnsiTheme="minorHAnsi" w:cstheme="minorHAnsi"/>
              </w:rPr>
            </w:pPr>
            <w:r>
              <w:rPr>
                <w:rFonts w:asciiTheme="minorHAnsi" w:hAnsiTheme="minorHAnsi" w:cstheme="minorHAnsi"/>
              </w:rPr>
              <w:t>(</w:t>
            </w:r>
            <w:r w:rsidR="001F5132" w:rsidRPr="00273503">
              <w:rPr>
                <w:rFonts w:asciiTheme="minorHAnsi" w:hAnsiTheme="minorHAnsi" w:cstheme="minorHAnsi"/>
              </w:rPr>
              <w:t>This shows a decrease over time.</w:t>
            </w:r>
            <w:r>
              <w:rPr>
                <w:rFonts w:asciiTheme="minorHAnsi" w:hAnsiTheme="minorHAnsi" w:cstheme="minorHAnsi"/>
              </w:rPr>
              <w:t>)</w:t>
            </w:r>
          </w:p>
          <w:p w14:paraId="1A28741C" w14:textId="77777777" w:rsidR="00A6641E" w:rsidRDefault="00383FC6"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2022-23: 11% of adults with asthma have peak flow (PEF) recorded within 1 hour of arrival</w:t>
            </w:r>
          </w:p>
          <w:p w14:paraId="08E944E9" w14:textId="77777777" w:rsidR="00383FC6" w:rsidRDefault="00383FC6"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2021-22: 11% of adults with asthma have peak flow (PEF) recorded within 1 hour of arrival</w:t>
            </w:r>
          </w:p>
          <w:p w14:paraId="0D59F6BD" w14:textId="2AD3B6DA" w:rsidR="00E72E30" w:rsidRPr="00273503" w:rsidRDefault="00273503" w:rsidP="00273503">
            <w:pPr>
              <w:spacing w:after="0" w:line="240" w:lineRule="auto"/>
              <w:rPr>
                <w:rFonts w:asciiTheme="minorHAnsi" w:hAnsiTheme="minorHAnsi" w:cstheme="minorHAnsi"/>
              </w:rPr>
            </w:pPr>
            <w:r>
              <w:rPr>
                <w:rFonts w:asciiTheme="minorHAnsi" w:hAnsiTheme="minorHAnsi" w:cstheme="minorHAnsi"/>
              </w:rPr>
              <w:t>(</w:t>
            </w:r>
            <w:r w:rsidR="00E72E30" w:rsidRPr="00273503">
              <w:rPr>
                <w:rFonts w:asciiTheme="minorHAnsi" w:hAnsiTheme="minorHAnsi" w:cstheme="minorHAnsi"/>
              </w:rPr>
              <w:t>This shows that results have remained at a low level over the past three cohorts.</w:t>
            </w:r>
            <w:r>
              <w:rPr>
                <w:rFonts w:asciiTheme="minorHAnsi" w:hAnsiTheme="minorHAnsi" w:cstheme="minorHAnsi"/>
              </w:rPr>
              <w:t>)</w:t>
            </w:r>
          </w:p>
          <w:p w14:paraId="7CB849B6" w14:textId="77777777" w:rsidR="00E220ED" w:rsidRDefault="00E220ED"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2022-23: 35% of CYP with asthma were administered steroids within 1 hour of arrival</w:t>
            </w:r>
          </w:p>
          <w:p w14:paraId="30C2D1C3" w14:textId="77777777" w:rsidR="00E220ED" w:rsidRDefault="00E220ED" w:rsidP="00E220E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2021-22: 31% of CYP with asthma were administered steroids within 1 hour of arrival</w:t>
            </w:r>
          </w:p>
          <w:p w14:paraId="0F34F612" w14:textId="7EDA8DA6" w:rsidR="00273503" w:rsidRPr="00273503" w:rsidRDefault="00273503" w:rsidP="00273503">
            <w:pPr>
              <w:spacing w:after="0" w:line="240" w:lineRule="auto"/>
              <w:rPr>
                <w:rFonts w:asciiTheme="minorHAnsi" w:hAnsiTheme="minorHAnsi" w:cstheme="minorHAnsi"/>
              </w:rPr>
            </w:pPr>
            <w:r>
              <w:rPr>
                <w:rFonts w:asciiTheme="minorHAnsi" w:hAnsiTheme="minorHAnsi" w:cstheme="minorHAnsi"/>
              </w:rPr>
              <w:t>(</w:t>
            </w:r>
            <w:r w:rsidRPr="00273503">
              <w:rPr>
                <w:rFonts w:asciiTheme="minorHAnsi" w:hAnsiTheme="minorHAnsi" w:cstheme="minorHAnsi"/>
              </w:rPr>
              <w:t>This has improved slightly over time (5% total improvement from 2021-22 – 2023-24)</w:t>
            </w:r>
            <w:r>
              <w:rPr>
                <w:rFonts w:asciiTheme="minorHAnsi" w:hAnsiTheme="minorHAnsi" w:cstheme="minorHAnsi"/>
              </w:rPr>
              <w:t>.)</w:t>
            </w:r>
          </w:p>
          <w:p w14:paraId="15854A81" w14:textId="77777777" w:rsidR="00E220ED" w:rsidRDefault="00E220ED" w:rsidP="00405ECD">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2022-23: 16% of people with COPD received NIV within 2 hours of arrival at hospital</w:t>
            </w:r>
          </w:p>
          <w:p w14:paraId="7B73F7A5" w14:textId="4CBB9B21" w:rsidR="00273503" w:rsidRPr="00273503" w:rsidRDefault="00273503" w:rsidP="00273503">
            <w:pPr>
              <w:spacing w:after="0" w:line="240" w:lineRule="auto"/>
              <w:rPr>
                <w:rFonts w:asciiTheme="minorHAnsi" w:hAnsiTheme="minorHAnsi" w:cstheme="minorHAnsi"/>
              </w:rPr>
            </w:pPr>
            <w:r>
              <w:rPr>
                <w:rFonts w:asciiTheme="minorHAnsi" w:hAnsiTheme="minorHAnsi" w:cstheme="minorHAnsi"/>
              </w:rPr>
              <w:t>(</w:t>
            </w:r>
            <w:r w:rsidRPr="00273503">
              <w:rPr>
                <w:rFonts w:asciiTheme="minorHAnsi" w:hAnsiTheme="minorHAnsi" w:cstheme="minorHAnsi"/>
              </w:rPr>
              <w:t>This has improved slightly but remains low overall.</w:t>
            </w:r>
            <w:r>
              <w:rPr>
                <w:rFonts w:asciiTheme="minorHAnsi" w:hAnsiTheme="minorHAnsi" w:cstheme="minorHAnsi"/>
              </w:rPr>
              <w:t>)</w:t>
            </w:r>
          </w:p>
        </w:tc>
      </w:tr>
      <w:tr w:rsidR="00C134E7" w:rsidRPr="00C7466A" w14:paraId="43E78943" w14:textId="77777777" w:rsidTr="00C134E7">
        <w:tc>
          <w:tcPr>
            <w:tcW w:w="625" w:type="dxa"/>
            <w:shd w:val="clear" w:color="auto" w:fill="auto"/>
          </w:tcPr>
          <w:p w14:paraId="68047AD1" w14:textId="23B941F7" w:rsidR="0064280E" w:rsidRPr="004355A5" w:rsidRDefault="0064280E" w:rsidP="0064280E">
            <w:pPr>
              <w:spacing w:after="0" w:line="240" w:lineRule="auto"/>
              <w:rPr>
                <w:rFonts w:asciiTheme="minorHAnsi" w:hAnsiTheme="minorHAnsi" w:cstheme="minorHAnsi"/>
              </w:rPr>
            </w:pPr>
            <w:r>
              <w:rPr>
                <w:rFonts w:asciiTheme="minorHAnsi" w:hAnsiTheme="minorHAnsi" w:cstheme="minorHAnsi"/>
              </w:rPr>
              <w:t xml:space="preserve">Rec </w:t>
            </w:r>
            <w:r w:rsidR="00500451">
              <w:rPr>
                <w:rFonts w:asciiTheme="minorHAnsi" w:hAnsiTheme="minorHAnsi" w:cstheme="minorHAnsi"/>
              </w:rPr>
              <w:t>3</w:t>
            </w:r>
          </w:p>
        </w:tc>
        <w:tc>
          <w:tcPr>
            <w:tcW w:w="2244" w:type="dxa"/>
            <w:shd w:val="clear" w:color="auto" w:fill="auto"/>
          </w:tcPr>
          <w:p w14:paraId="3323949B" w14:textId="77777777" w:rsidR="0064280E" w:rsidRPr="004A5336" w:rsidRDefault="0064280E" w:rsidP="0064280E">
            <w:pPr>
              <w:spacing w:after="0" w:line="240" w:lineRule="auto"/>
              <w:rPr>
                <w:rFonts w:asciiTheme="minorHAnsi" w:hAnsiTheme="minorHAnsi" w:cstheme="minorHAnsi"/>
              </w:rPr>
            </w:pPr>
            <w:r w:rsidRPr="004A5336">
              <w:rPr>
                <w:rFonts w:asciiTheme="minorHAnsi" w:hAnsiTheme="minorHAnsi" w:cstheme="minorHAnsi"/>
              </w:rPr>
              <w:t>All people with COPD and asthma who smoke, and smokers who are parents</w:t>
            </w:r>
          </w:p>
          <w:p w14:paraId="0EE89658" w14:textId="55C12041" w:rsidR="0064280E" w:rsidRPr="004355A5" w:rsidRDefault="0064280E" w:rsidP="0064280E">
            <w:pPr>
              <w:spacing w:after="0" w:line="240" w:lineRule="auto"/>
              <w:rPr>
                <w:rFonts w:asciiTheme="minorHAnsi" w:hAnsiTheme="minorHAnsi" w:cstheme="minorHAnsi"/>
              </w:rPr>
            </w:pPr>
            <w:r w:rsidRPr="004A5336">
              <w:rPr>
                <w:rFonts w:asciiTheme="minorHAnsi" w:hAnsiTheme="minorHAnsi" w:cstheme="minorHAnsi"/>
              </w:rPr>
              <w:t>of children and young people with asthma, should be offered</w:t>
            </w:r>
            <w:r w:rsidR="008C701D">
              <w:rPr>
                <w:rFonts w:asciiTheme="minorHAnsi" w:hAnsiTheme="minorHAnsi" w:cstheme="minorHAnsi"/>
              </w:rPr>
              <w:t xml:space="preserve"> </w:t>
            </w:r>
            <w:r w:rsidRPr="004A5336">
              <w:rPr>
                <w:rFonts w:asciiTheme="minorHAnsi" w:hAnsiTheme="minorHAnsi" w:cstheme="minorHAnsi"/>
              </w:rPr>
              <w:t>evidence-based</w:t>
            </w:r>
            <w:r w:rsidR="008C701D">
              <w:rPr>
                <w:rFonts w:asciiTheme="minorHAnsi" w:hAnsiTheme="minorHAnsi" w:cstheme="minorHAnsi"/>
              </w:rPr>
              <w:t xml:space="preserve"> </w:t>
            </w:r>
            <w:r w:rsidRPr="004A5336">
              <w:rPr>
                <w:rFonts w:asciiTheme="minorHAnsi" w:hAnsiTheme="minorHAnsi" w:cstheme="minorHAnsi"/>
              </w:rPr>
              <w:t>treatment and referral for tobacco dependency. In England, the Department of Health</w:t>
            </w:r>
            <w:r w:rsidR="008C701D">
              <w:rPr>
                <w:rFonts w:asciiTheme="minorHAnsi" w:hAnsiTheme="minorHAnsi" w:cstheme="minorHAnsi"/>
              </w:rPr>
              <w:t xml:space="preserve"> </w:t>
            </w:r>
            <w:r w:rsidRPr="004A5336">
              <w:rPr>
                <w:rFonts w:asciiTheme="minorHAnsi" w:hAnsiTheme="minorHAnsi" w:cstheme="minorHAnsi"/>
              </w:rPr>
              <w:t>and Social Care, NHS England and integrated care boards should work together to</w:t>
            </w:r>
            <w:r w:rsidR="008C701D">
              <w:rPr>
                <w:rFonts w:asciiTheme="minorHAnsi" w:hAnsiTheme="minorHAnsi" w:cstheme="minorHAnsi"/>
              </w:rPr>
              <w:t xml:space="preserve"> </w:t>
            </w:r>
            <w:r w:rsidRPr="004A5336">
              <w:rPr>
                <w:rFonts w:asciiTheme="minorHAnsi" w:hAnsiTheme="minorHAnsi" w:cstheme="minorHAnsi"/>
              </w:rPr>
              <w:t>provide increased resource to all acute, mental health and maternity services in England,</w:t>
            </w:r>
            <w:r w:rsidR="008C701D">
              <w:rPr>
                <w:rFonts w:asciiTheme="minorHAnsi" w:hAnsiTheme="minorHAnsi" w:cstheme="minorHAnsi"/>
              </w:rPr>
              <w:t xml:space="preserve"> </w:t>
            </w:r>
            <w:r w:rsidRPr="004A5336">
              <w:rPr>
                <w:rFonts w:asciiTheme="minorHAnsi" w:hAnsiTheme="minorHAnsi" w:cstheme="minorHAnsi"/>
              </w:rPr>
              <w:t>so that every provider develops and implements a</w:t>
            </w:r>
            <w:r w:rsidR="008C701D">
              <w:rPr>
                <w:rFonts w:asciiTheme="minorHAnsi" w:hAnsiTheme="minorHAnsi" w:cstheme="minorHAnsi"/>
              </w:rPr>
              <w:t xml:space="preserve"> </w:t>
            </w:r>
            <w:r w:rsidRPr="004A5336">
              <w:rPr>
                <w:rFonts w:asciiTheme="minorHAnsi" w:hAnsiTheme="minorHAnsi" w:cstheme="minorHAnsi"/>
              </w:rPr>
              <w:t>comprehensive inpatient tobacco</w:t>
            </w:r>
            <w:r w:rsidR="008C701D">
              <w:rPr>
                <w:rFonts w:asciiTheme="minorHAnsi" w:hAnsiTheme="minorHAnsi" w:cstheme="minorHAnsi"/>
              </w:rPr>
              <w:t xml:space="preserve"> </w:t>
            </w:r>
            <w:r w:rsidRPr="004A5336">
              <w:rPr>
                <w:rFonts w:asciiTheme="minorHAnsi" w:hAnsiTheme="minorHAnsi" w:cstheme="minorHAnsi"/>
              </w:rPr>
              <w:t>dependency service.</w:t>
            </w:r>
          </w:p>
        </w:tc>
        <w:tc>
          <w:tcPr>
            <w:tcW w:w="2046" w:type="dxa"/>
            <w:shd w:val="clear" w:color="auto" w:fill="auto"/>
          </w:tcPr>
          <w:p w14:paraId="36569ADC" w14:textId="77777777" w:rsidR="00FC1355" w:rsidRPr="00FC1355" w:rsidRDefault="0064280E" w:rsidP="00FC1355">
            <w:pPr>
              <w:pStyle w:val="ListParagraph"/>
              <w:numPr>
                <w:ilvl w:val="0"/>
                <w:numId w:val="13"/>
              </w:numPr>
              <w:spacing w:after="0" w:line="240" w:lineRule="auto"/>
              <w:rPr>
                <w:rFonts w:asciiTheme="minorHAnsi" w:hAnsiTheme="minorHAnsi" w:cstheme="minorHAnsi"/>
              </w:rPr>
            </w:pPr>
            <w:r w:rsidRPr="00FC1355">
              <w:rPr>
                <w:rFonts w:asciiTheme="minorHAnsi" w:hAnsiTheme="minorHAnsi" w:cstheme="minorHAnsi"/>
              </w:rPr>
              <w:t>Department for Health and Social Care</w:t>
            </w:r>
          </w:p>
          <w:p w14:paraId="11764E0B" w14:textId="77777777" w:rsidR="00FC1355" w:rsidRPr="00FC1355" w:rsidRDefault="0064280E" w:rsidP="00FC1355">
            <w:pPr>
              <w:pStyle w:val="ListParagraph"/>
              <w:numPr>
                <w:ilvl w:val="0"/>
                <w:numId w:val="13"/>
              </w:numPr>
              <w:spacing w:after="0" w:line="240" w:lineRule="auto"/>
              <w:rPr>
                <w:rFonts w:asciiTheme="minorHAnsi" w:hAnsiTheme="minorHAnsi" w:cstheme="minorHAnsi"/>
              </w:rPr>
            </w:pPr>
            <w:r w:rsidRPr="00FC1355">
              <w:rPr>
                <w:rFonts w:asciiTheme="minorHAnsi" w:hAnsiTheme="minorHAnsi" w:cstheme="minorHAnsi"/>
              </w:rPr>
              <w:t>NHS England</w:t>
            </w:r>
          </w:p>
          <w:p w14:paraId="0BDC6F76" w14:textId="35B23A60" w:rsidR="0064280E" w:rsidRPr="00FC1355" w:rsidRDefault="0064280E" w:rsidP="00FC1355">
            <w:pPr>
              <w:pStyle w:val="ListParagraph"/>
              <w:numPr>
                <w:ilvl w:val="0"/>
                <w:numId w:val="13"/>
              </w:numPr>
              <w:spacing w:after="0" w:line="240" w:lineRule="auto"/>
              <w:rPr>
                <w:rFonts w:asciiTheme="minorHAnsi" w:hAnsiTheme="minorHAnsi" w:cstheme="minorHAnsi"/>
              </w:rPr>
            </w:pPr>
            <w:r w:rsidRPr="00FC1355">
              <w:rPr>
                <w:rFonts w:asciiTheme="minorHAnsi" w:hAnsiTheme="minorHAnsi" w:cstheme="minorHAnsi"/>
              </w:rPr>
              <w:t xml:space="preserve">Integrated Care Boards </w:t>
            </w:r>
          </w:p>
        </w:tc>
        <w:tc>
          <w:tcPr>
            <w:tcW w:w="3160" w:type="dxa"/>
            <w:gridSpan w:val="2"/>
            <w:shd w:val="clear" w:color="auto" w:fill="auto"/>
          </w:tcPr>
          <w:p w14:paraId="0BC18E2F" w14:textId="7665017F" w:rsidR="0064280E"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Full report, page </w:t>
            </w:r>
            <w:r w:rsidR="00C627BD">
              <w:rPr>
                <w:rFonts w:asciiTheme="minorHAnsi" w:hAnsiTheme="minorHAnsi" w:cstheme="minorHAnsi"/>
              </w:rPr>
              <w:t>10</w:t>
            </w:r>
          </w:p>
          <w:p w14:paraId="2446A5A5" w14:textId="77777777" w:rsidR="0064280E"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19% of adults with asthma identified as current smokers, 70% of these had tobacco dependence addressed </w:t>
            </w:r>
          </w:p>
          <w:p w14:paraId="7E81398A" w14:textId="77777777" w:rsidR="0064280E"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36% of people with COPD identified as current smokers, 65% of these had tobacco dependence addressed </w:t>
            </w:r>
          </w:p>
          <w:p w14:paraId="6D157D38" w14:textId="21ADAC8D" w:rsidR="0064280E"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16% of children and young people (CYP) with asthma identified as being exposed to second-hand smoke, 46% of these had parental/carer tobacco dependence addressed </w:t>
            </w:r>
          </w:p>
          <w:p w14:paraId="22ACABE7" w14:textId="5B9FEA73" w:rsidR="0064280E" w:rsidRPr="005B521D"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1% of CYP with asthma identified as current smokers, 56% of these had tobacco dependence addressed </w:t>
            </w:r>
          </w:p>
        </w:tc>
        <w:tc>
          <w:tcPr>
            <w:tcW w:w="851" w:type="dxa"/>
            <w:shd w:val="clear" w:color="auto" w:fill="auto"/>
          </w:tcPr>
          <w:p w14:paraId="554B92EF" w14:textId="77777777" w:rsidR="0064280E" w:rsidRPr="004355A5" w:rsidRDefault="0064280E" w:rsidP="0064280E">
            <w:pPr>
              <w:spacing w:after="0" w:line="240" w:lineRule="auto"/>
              <w:rPr>
                <w:rFonts w:asciiTheme="minorHAnsi" w:hAnsiTheme="minorHAnsi" w:cstheme="minorHAnsi"/>
              </w:rPr>
            </w:pPr>
          </w:p>
        </w:tc>
        <w:tc>
          <w:tcPr>
            <w:tcW w:w="948" w:type="dxa"/>
            <w:shd w:val="clear" w:color="auto" w:fill="auto"/>
          </w:tcPr>
          <w:p w14:paraId="4F50C8BE" w14:textId="5FAE856D" w:rsidR="0064280E" w:rsidRPr="004355A5" w:rsidRDefault="0064280E" w:rsidP="0064280E">
            <w:pPr>
              <w:spacing w:after="0" w:line="240" w:lineRule="auto"/>
              <w:rPr>
                <w:rFonts w:asciiTheme="minorHAnsi" w:hAnsiTheme="minorHAnsi" w:cstheme="minorHAnsi"/>
              </w:rPr>
            </w:pPr>
          </w:p>
        </w:tc>
        <w:tc>
          <w:tcPr>
            <w:tcW w:w="2737" w:type="dxa"/>
            <w:shd w:val="clear" w:color="auto" w:fill="auto"/>
          </w:tcPr>
          <w:p w14:paraId="5B6255ED" w14:textId="2EA2B819" w:rsidR="0064280E" w:rsidRDefault="00564BE4" w:rsidP="008C701D">
            <w:pPr>
              <w:spacing w:after="0" w:line="240" w:lineRule="auto"/>
              <w:rPr>
                <w:rFonts w:asciiTheme="minorHAnsi" w:hAnsiTheme="minorHAnsi" w:cstheme="minorHAnsi"/>
              </w:rPr>
            </w:pPr>
            <w:hyperlink r:id="rId12" w:history="1">
              <w:r w:rsidRPr="00564BE4">
                <w:rPr>
                  <w:rStyle w:val="Hyperlink"/>
                  <w:rFonts w:asciiTheme="minorHAnsi" w:hAnsiTheme="minorHAnsi" w:cstheme="minorHAnsi"/>
                  <w:b/>
                  <w:bCs/>
                </w:rPr>
                <w:t>NICE:</w:t>
              </w:r>
            </w:hyperlink>
            <w:r w:rsidRPr="00564BE4">
              <w:rPr>
                <w:rFonts w:asciiTheme="minorHAnsi" w:hAnsiTheme="minorHAnsi" w:cstheme="minorHAnsi"/>
              </w:rPr>
              <w:t xml:space="preserve"> </w:t>
            </w:r>
            <w:r w:rsidR="0064280E" w:rsidRPr="00564BE4">
              <w:rPr>
                <w:rFonts w:asciiTheme="minorHAnsi" w:hAnsiTheme="minorHAnsi" w:cstheme="minorHAnsi"/>
              </w:rPr>
              <w:t>Tobacco, preventing uptake, promoting quitting and treating dependence, NICE guidance [NG209], 30 November 2021</w:t>
            </w:r>
          </w:p>
          <w:p w14:paraId="6F8E9773" w14:textId="77777777" w:rsidR="008C701D" w:rsidRDefault="008C701D" w:rsidP="008C701D">
            <w:pPr>
              <w:spacing w:after="0" w:line="240" w:lineRule="auto"/>
              <w:rPr>
                <w:rFonts w:asciiTheme="minorHAnsi" w:hAnsiTheme="minorHAnsi" w:cstheme="minorHAnsi"/>
              </w:rPr>
            </w:pPr>
          </w:p>
          <w:p w14:paraId="2BA8254C" w14:textId="77777777" w:rsidR="004F46A8" w:rsidRDefault="004F46A8" w:rsidP="004F46A8">
            <w:pPr>
              <w:spacing w:after="0" w:line="240" w:lineRule="auto"/>
            </w:pPr>
            <w:r w:rsidRPr="00743D6A">
              <w:rPr>
                <w:b/>
                <w:bCs/>
              </w:rPr>
              <w:t xml:space="preserve">NHS </w:t>
            </w:r>
            <w:hyperlink r:id="rId13" w:history="1">
              <w:r w:rsidRPr="00390CA5">
                <w:rPr>
                  <w:rStyle w:val="Hyperlink"/>
                  <w:b/>
                  <w:bCs/>
                </w:rPr>
                <w:t>Long Term Plan</w:t>
              </w:r>
            </w:hyperlink>
            <w:r w:rsidRPr="00743D6A">
              <w:rPr>
                <w:b/>
                <w:bCs/>
              </w:rPr>
              <w:t xml:space="preserve">. </w:t>
            </w:r>
            <w:r w:rsidRPr="00390CA5">
              <w:t>States: First</w:t>
            </w:r>
            <w:r>
              <w:t>, the NHS will therefore make a significant new contribution to making England a smoke-free society, by supporting people in contact with NHS services to quit based on a proven model implemented in Canada and Manchester. By 2023/24, all people admitted to hospital who smoke will be offered NHS-funded tobacco treatment services.</w:t>
            </w:r>
          </w:p>
          <w:p w14:paraId="69320CC5" w14:textId="560B0E6A" w:rsidR="008C701D" w:rsidRPr="008C701D" w:rsidRDefault="008C701D" w:rsidP="008C701D">
            <w:pPr>
              <w:spacing w:after="0" w:line="240" w:lineRule="auto"/>
              <w:rPr>
                <w:rFonts w:asciiTheme="minorHAnsi" w:hAnsiTheme="minorHAnsi" w:cstheme="minorHAnsi"/>
              </w:rPr>
            </w:pPr>
          </w:p>
        </w:tc>
        <w:tc>
          <w:tcPr>
            <w:tcW w:w="2777" w:type="dxa"/>
          </w:tcPr>
          <w:p w14:paraId="53C577D5" w14:textId="09F8BBA3" w:rsidR="0064280E" w:rsidRPr="0064280E" w:rsidRDefault="00D71E46" w:rsidP="0064280E">
            <w:pPr>
              <w:spacing w:after="0" w:line="240" w:lineRule="auto"/>
              <w:rPr>
                <w:rFonts w:asciiTheme="minorHAnsi" w:hAnsiTheme="minorHAnsi" w:cstheme="minorHAnsi"/>
              </w:rPr>
            </w:pPr>
            <w:r>
              <w:rPr>
                <w:rFonts w:asciiTheme="minorHAnsi" w:hAnsiTheme="minorHAnsi" w:cstheme="minorHAnsi"/>
              </w:rPr>
              <w:t>The report shows the reported data for 2023-24</w:t>
            </w:r>
            <w:r w:rsidR="002139F2">
              <w:rPr>
                <w:rFonts w:asciiTheme="minorHAnsi" w:hAnsiTheme="minorHAnsi" w:cstheme="minorHAnsi"/>
              </w:rPr>
              <w:t xml:space="preserve"> and 2022-23. Please not</w:t>
            </w:r>
            <w:r w:rsidR="00A14D9F">
              <w:rPr>
                <w:rFonts w:asciiTheme="minorHAnsi" w:hAnsiTheme="minorHAnsi" w:cstheme="minorHAnsi"/>
              </w:rPr>
              <w:t>e</w:t>
            </w:r>
            <w:r w:rsidR="002139F2">
              <w:rPr>
                <w:rFonts w:asciiTheme="minorHAnsi" w:hAnsiTheme="minorHAnsi" w:cstheme="minorHAnsi"/>
              </w:rPr>
              <w:t xml:space="preserve"> that </w:t>
            </w:r>
            <w:r w:rsidR="00A14D9F">
              <w:rPr>
                <w:rFonts w:asciiTheme="minorHAnsi" w:hAnsiTheme="minorHAnsi" w:cstheme="minorHAnsi"/>
              </w:rPr>
              <w:t xml:space="preserve">2023-24 and 2022-23 </w:t>
            </w:r>
            <w:r w:rsidR="00A14D9F" w:rsidRPr="000A78ED">
              <w:rPr>
                <w:rFonts w:asciiTheme="minorHAnsi" w:hAnsiTheme="minorHAnsi" w:cstheme="minorHAnsi"/>
                <w:b/>
                <w:bCs/>
              </w:rPr>
              <w:t>figure</w:t>
            </w:r>
            <w:r w:rsidR="00D61A58" w:rsidRPr="000A78ED">
              <w:rPr>
                <w:rFonts w:asciiTheme="minorHAnsi" w:hAnsiTheme="minorHAnsi" w:cstheme="minorHAnsi"/>
                <w:b/>
                <w:bCs/>
              </w:rPr>
              <w:t>s are not directly comparable as methodology, definitions, and criteria surrounding data collection have changed over time.</w:t>
            </w:r>
          </w:p>
          <w:p w14:paraId="71043D72" w14:textId="77777777" w:rsidR="00273503" w:rsidRDefault="0064280E" w:rsidP="0064280E">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19% of adults with asthma identified as current smokers, </w:t>
            </w:r>
            <w:r w:rsidR="00606DF2">
              <w:rPr>
                <w:rFonts w:asciiTheme="minorHAnsi" w:hAnsiTheme="minorHAnsi" w:cstheme="minorHAnsi"/>
              </w:rPr>
              <w:t>69</w:t>
            </w:r>
            <w:r>
              <w:rPr>
                <w:rFonts w:asciiTheme="minorHAnsi" w:hAnsiTheme="minorHAnsi" w:cstheme="minorHAnsi"/>
              </w:rPr>
              <w:t xml:space="preserve">% of these had tobacco dependence addressed </w:t>
            </w:r>
            <w:r w:rsidR="00A120BD">
              <w:rPr>
                <w:rFonts w:asciiTheme="minorHAnsi" w:hAnsiTheme="minorHAnsi" w:cstheme="minorHAnsi"/>
              </w:rPr>
              <w:t xml:space="preserve">in 2022-23 </w:t>
            </w:r>
          </w:p>
          <w:p w14:paraId="7712167A" w14:textId="50E4B518" w:rsidR="0064280E" w:rsidRPr="00273503" w:rsidRDefault="00A120BD" w:rsidP="00273503">
            <w:pPr>
              <w:spacing w:after="0" w:line="240" w:lineRule="auto"/>
              <w:rPr>
                <w:rFonts w:asciiTheme="minorHAnsi" w:hAnsiTheme="minorHAnsi" w:cstheme="minorHAnsi"/>
              </w:rPr>
            </w:pPr>
            <w:r w:rsidRPr="00273503">
              <w:rPr>
                <w:rFonts w:asciiTheme="minorHAnsi" w:hAnsiTheme="minorHAnsi" w:cstheme="minorHAnsi"/>
              </w:rPr>
              <w:t>(</w:t>
            </w:r>
            <w:r w:rsidR="00273503" w:rsidRPr="00273503">
              <w:rPr>
                <w:rFonts w:asciiTheme="minorHAnsi" w:hAnsiTheme="minorHAnsi" w:cstheme="minorHAnsi"/>
              </w:rPr>
              <w:t>T</w:t>
            </w:r>
            <w:r w:rsidRPr="00273503">
              <w:rPr>
                <w:rFonts w:asciiTheme="minorHAnsi" w:hAnsiTheme="minorHAnsi" w:cstheme="minorHAnsi"/>
              </w:rPr>
              <w:t>his represents a slight increase</w:t>
            </w:r>
            <w:r w:rsidR="007E5929" w:rsidRPr="00273503">
              <w:rPr>
                <w:rFonts w:asciiTheme="minorHAnsi" w:hAnsiTheme="minorHAnsi" w:cstheme="minorHAnsi"/>
              </w:rPr>
              <w:t>)</w:t>
            </w:r>
          </w:p>
          <w:p w14:paraId="5616BCF5" w14:textId="77777777" w:rsidR="00273503" w:rsidRDefault="00E72E30" w:rsidP="00E72E3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35% of people with COPD identified as current smokers, 60% of these had tobacco dependence addressed </w:t>
            </w:r>
          </w:p>
          <w:p w14:paraId="525AAD55" w14:textId="167C8C2E" w:rsidR="00E72E30" w:rsidRPr="00273503" w:rsidRDefault="00E72E30" w:rsidP="00273503">
            <w:pPr>
              <w:spacing w:after="0" w:line="240" w:lineRule="auto"/>
              <w:rPr>
                <w:rFonts w:asciiTheme="minorHAnsi" w:hAnsiTheme="minorHAnsi" w:cstheme="minorHAnsi"/>
              </w:rPr>
            </w:pPr>
            <w:r w:rsidRPr="00273503">
              <w:rPr>
                <w:rFonts w:asciiTheme="minorHAnsi" w:hAnsiTheme="minorHAnsi" w:cstheme="minorHAnsi"/>
              </w:rPr>
              <w:t>(</w:t>
            </w:r>
            <w:r w:rsidR="00273503" w:rsidRPr="00273503">
              <w:rPr>
                <w:rFonts w:asciiTheme="minorHAnsi" w:hAnsiTheme="minorHAnsi" w:cstheme="minorHAnsi"/>
              </w:rPr>
              <w:t>T</w:t>
            </w:r>
            <w:r w:rsidRPr="00273503">
              <w:rPr>
                <w:rFonts w:asciiTheme="minorHAnsi" w:hAnsiTheme="minorHAnsi" w:cstheme="minorHAnsi"/>
              </w:rPr>
              <w:t>his represents an increase</w:t>
            </w:r>
            <w:r w:rsidR="00273503">
              <w:rPr>
                <w:rFonts w:asciiTheme="minorHAnsi" w:hAnsiTheme="minorHAnsi" w:cstheme="minorHAnsi"/>
              </w:rPr>
              <w:t xml:space="preserve"> in those iden</w:t>
            </w:r>
            <w:r w:rsidR="0039210B">
              <w:rPr>
                <w:rFonts w:asciiTheme="minorHAnsi" w:hAnsiTheme="minorHAnsi" w:cstheme="minorHAnsi"/>
              </w:rPr>
              <w:t xml:space="preserve">tified as smokers and those with tobacco dependence addressed) </w:t>
            </w:r>
          </w:p>
          <w:p w14:paraId="453EDEA9" w14:textId="77777777" w:rsidR="0039210B" w:rsidRDefault="00E72E30" w:rsidP="00E72E3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16% of children and young people (CYP) with asthma identified as being exposed to second-hand smoke, 36% of these had parental/carer tobacco dependence addressed </w:t>
            </w:r>
          </w:p>
          <w:p w14:paraId="7BB8799B" w14:textId="724FA949" w:rsidR="00E72E30" w:rsidRPr="0039210B" w:rsidRDefault="00E72E30" w:rsidP="0039210B">
            <w:pPr>
              <w:spacing w:after="0" w:line="240" w:lineRule="auto"/>
              <w:rPr>
                <w:rFonts w:asciiTheme="minorHAnsi" w:hAnsiTheme="minorHAnsi" w:cstheme="minorHAnsi"/>
              </w:rPr>
            </w:pPr>
            <w:r w:rsidRPr="0039210B">
              <w:rPr>
                <w:rFonts w:asciiTheme="minorHAnsi" w:hAnsiTheme="minorHAnsi" w:cstheme="minorHAnsi"/>
              </w:rPr>
              <w:t>(</w:t>
            </w:r>
            <w:r w:rsidR="0039210B" w:rsidRPr="0039210B">
              <w:rPr>
                <w:rFonts w:asciiTheme="minorHAnsi" w:hAnsiTheme="minorHAnsi" w:cstheme="minorHAnsi"/>
              </w:rPr>
              <w:t>T</w:t>
            </w:r>
            <w:r w:rsidRPr="0039210B">
              <w:rPr>
                <w:rFonts w:asciiTheme="minorHAnsi" w:hAnsiTheme="minorHAnsi" w:cstheme="minorHAnsi"/>
              </w:rPr>
              <w:t>his shows a significant increase</w:t>
            </w:r>
            <w:r w:rsidR="008F0909">
              <w:rPr>
                <w:rFonts w:asciiTheme="minorHAnsi" w:hAnsiTheme="minorHAnsi" w:cstheme="minorHAnsi"/>
              </w:rPr>
              <w:t xml:space="preserve"> in the number of parents/carers with tobacco dependence addressed</w:t>
            </w:r>
            <w:r w:rsidRPr="0039210B">
              <w:rPr>
                <w:rFonts w:asciiTheme="minorHAnsi" w:hAnsiTheme="minorHAnsi" w:cstheme="minorHAnsi"/>
              </w:rPr>
              <w:t>)</w:t>
            </w:r>
          </w:p>
          <w:p w14:paraId="3EECCD5E" w14:textId="77777777" w:rsidR="008F0909" w:rsidRDefault="00E72E30" w:rsidP="00E72E30">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2</w:t>
            </w:r>
            <w:r w:rsidRPr="00606DF2">
              <w:rPr>
                <w:rFonts w:asciiTheme="minorHAnsi" w:hAnsiTheme="minorHAnsi" w:cstheme="minorHAnsi"/>
              </w:rPr>
              <w:t xml:space="preserve">% of CYP with asthma identified as current smokers, </w:t>
            </w:r>
            <w:r>
              <w:rPr>
                <w:rFonts w:asciiTheme="minorHAnsi" w:hAnsiTheme="minorHAnsi" w:cstheme="minorHAnsi"/>
              </w:rPr>
              <w:t>73</w:t>
            </w:r>
            <w:r w:rsidRPr="00606DF2">
              <w:rPr>
                <w:rFonts w:asciiTheme="minorHAnsi" w:hAnsiTheme="minorHAnsi" w:cstheme="minorHAnsi"/>
              </w:rPr>
              <w:t xml:space="preserve">% of these had tobacco dependence addressed </w:t>
            </w:r>
          </w:p>
          <w:p w14:paraId="4020C30C" w14:textId="47CC91A1" w:rsidR="00E72E30" w:rsidRPr="008F0909" w:rsidRDefault="00E72E30" w:rsidP="008F0909">
            <w:pPr>
              <w:spacing w:after="0" w:line="240" w:lineRule="auto"/>
              <w:rPr>
                <w:rFonts w:asciiTheme="minorHAnsi" w:hAnsiTheme="minorHAnsi" w:cstheme="minorHAnsi"/>
              </w:rPr>
            </w:pPr>
            <w:r w:rsidRPr="008F0909">
              <w:rPr>
                <w:rFonts w:asciiTheme="minorHAnsi" w:hAnsiTheme="minorHAnsi" w:cstheme="minorHAnsi"/>
              </w:rPr>
              <w:t>(</w:t>
            </w:r>
            <w:r w:rsidR="008F0909" w:rsidRPr="008F0909">
              <w:rPr>
                <w:rFonts w:asciiTheme="minorHAnsi" w:hAnsiTheme="minorHAnsi" w:cstheme="minorHAnsi"/>
              </w:rPr>
              <w:t>A</w:t>
            </w:r>
            <w:r w:rsidRPr="008F0909">
              <w:rPr>
                <w:rFonts w:asciiTheme="minorHAnsi" w:hAnsiTheme="minorHAnsi" w:cstheme="minorHAnsi"/>
              </w:rPr>
              <w:t>lthough there are less CYP identified as smokers in 2023-24, the percentage</w:t>
            </w:r>
            <w:r w:rsidR="008F0909">
              <w:rPr>
                <w:rFonts w:asciiTheme="minorHAnsi" w:hAnsiTheme="minorHAnsi" w:cstheme="minorHAnsi"/>
              </w:rPr>
              <w:t xml:space="preserve"> of those with tobacco dependence being addressed has reduced significantly)</w:t>
            </w:r>
          </w:p>
        </w:tc>
      </w:tr>
    </w:tbl>
    <w:p w14:paraId="00CD0829" w14:textId="77777777" w:rsidR="002F2FD6" w:rsidRPr="00C7466A" w:rsidRDefault="002F2FD6">
      <w:pPr>
        <w:rPr>
          <w:rFonts w:cs="Calibri"/>
          <w:sz w:val="20"/>
          <w:szCs w:val="20"/>
        </w:rPr>
      </w:pPr>
    </w:p>
    <w:sectPr w:rsidR="002F2FD6" w:rsidRPr="00C7466A" w:rsidSect="004355A5">
      <w:footerReference w:type="default" r:id="rId14"/>
      <w:pgSz w:w="16838" w:h="11906" w:orient="landscape"/>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76BF" w14:textId="77777777" w:rsidR="007C23FF" w:rsidRDefault="007C23FF" w:rsidP="00AB1ED2">
      <w:pPr>
        <w:spacing w:after="0" w:line="240" w:lineRule="auto"/>
      </w:pPr>
      <w:r>
        <w:separator/>
      </w:r>
    </w:p>
  </w:endnote>
  <w:endnote w:type="continuationSeparator" w:id="0">
    <w:p w14:paraId="135A2E4D" w14:textId="77777777" w:rsidR="007C23FF" w:rsidRDefault="007C23FF" w:rsidP="00AB1ED2">
      <w:pPr>
        <w:spacing w:after="0" w:line="240" w:lineRule="auto"/>
      </w:pPr>
      <w:r>
        <w:continuationSeparator/>
      </w:r>
    </w:p>
  </w:endnote>
  <w:endnote w:type="continuationNotice" w:id="1">
    <w:p w14:paraId="223D25C8" w14:textId="77777777" w:rsidR="007C23FF" w:rsidRDefault="007C2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3A7A" w14:textId="7681E04E" w:rsidR="00AB1ED2" w:rsidRDefault="004355A5">
    <w:pPr>
      <w:pStyle w:val="Footer"/>
    </w:pPr>
    <w:r>
      <w:rPr>
        <w:i/>
        <w:iCs/>
        <w:sz w:val="18"/>
        <w:szCs w:val="18"/>
      </w:rPr>
      <w:t xml:space="preserve">Appendix 20: </w:t>
    </w:r>
    <w:r w:rsidRPr="004355A5">
      <w:rPr>
        <w:i/>
        <w:iCs/>
        <w:sz w:val="18"/>
        <w:szCs w:val="18"/>
      </w:rPr>
      <w:t>Line of sight table v4, June 2023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B1ED2" w:rsidRPr="004355A5">
      <w:rPr>
        <w:i/>
        <w:iCs/>
        <w:sz w:val="18"/>
        <w:szCs w:val="18"/>
      </w:rPr>
      <w:t xml:space="preserve">Page </w:t>
    </w:r>
    <w:r w:rsidR="00AB1ED2" w:rsidRPr="004355A5">
      <w:rPr>
        <w:bCs/>
        <w:i/>
        <w:iCs/>
        <w:sz w:val="18"/>
        <w:szCs w:val="18"/>
      </w:rPr>
      <w:fldChar w:fldCharType="begin"/>
    </w:r>
    <w:r w:rsidR="00AB1ED2" w:rsidRPr="004355A5">
      <w:rPr>
        <w:bCs/>
        <w:i/>
        <w:iCs/>
        <w:sz w:val="18"/>
        <w:szCs w:val="18"/>
      </w:rPr>
      <w:instrText xml:space="preserve"> PAGE </w:instrText>
    </w:r>
    <w:r w:rsidR="00AB1ED2" w:rsidRPr="004355A5">
      <w:rPr>
        <w:bCs/>
        <w:i/>
        <w:iCs/>
        <w:sz w:val="18"/>
        <w:szCs w:val="18"/>
      </w:rPr>
      <w:fldChar w:fldCharType="separate"/>
    </w:r>
    <w:r w:rsidR="00900DC1" w:rsidRPr="004355A5">
      <w:rPr>
        <w:bCs/>
        <w:i/>
        <w:iCs/>
        <w:noProof/>
        <w:sz w:val="18"/>
        <w:szCs w:val="18"/>
      </w:rPr>
      <w:t>2</w:t>
    </w:r>
    <w:r w:rsidR="00AB1ED2" w:rsidRPr="004355A5">
      <w:rPr>
        <w:bCs/>
        <w:i/>
        <w:iCs/>
        <w:sz w:val="18"/>
        <w:szCs w:val="18"/>
      </w:rPr>
      <w:fldChar w:fldCharType="end"/>
    </w:r>
    <w:r w:rsidR="00AB1ED2" w:rsidRPr="004355A5">
      <w:rPr>
        <w:i/>
        <w:iCs/>
        <w:sz w:val="18"/>
        <w:szCs w:val="18"/>
      </w:rPr>
      <w:t xml:space="preserve"> of </w:t>
    </w:r>
    <w:r w:rsidR="00AB1ED2" w:rsidRPr="004355A5">
      <w:rPr>
        <w:bCs/>
        <w:i/>
        <w:iCs/>
        <w:sz w:val="18"/>
        <w:szCs w:val="18"/>
      </w:rPr>
      <w:fldChar w:fldCharType="begin"/>
    </w:r>
    <w:r w:rsidR="00AB1ED2" w:rsidRPr="004355A5">
      <w:rPr>
        <w:bCs/>
        <w:i/>
        <w:iCs/>
        <w:sz w:val="18"/>
        <w:szCs w:val="18"/>
      </w:rPr>
      <w:instrText xml:space="preserve"> NUMPAGES  </w:instrText>
    </w:r>
    <w:r w:rsidR="00AB1ED2" w:rsidRPr="004355A5">
      <w:rPr>
        <w:bCs/>
        <w:i/>
        <w:iCs/>
        <w:sz w:val="18"/>
        <w:szCs w:val="18"/>
      </w:rPr>
      <w:fldChar w:fldCharType="separate"/>
    </w:r>
    <w:r w:rsidR="00900DC1" w:rsidRPr="004355A5">
      <w:rPr>
        <w:bCs/>
        <w:i/>
        <w:iCs/>
        <w:noProof/>
        <w:sz w:val="18"/>
        <w:szCs w:val="18"/>
      </w:rPr>
      <w:t>2</w:t>
    </w:r>
    <w:r w:rsidR="00AB1ED2" w:rsidRPr="004355A5">
      <w:rPr>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00E6" w14:textId="77777777" w:rsidR="007C23FF" w:rsidRDefault="007C23FF" w:rsidP="00AB1ED2">
      <w:pPr>
        <w:spacing w:after="0" w:line="240" w:lineRule="auto"/>
      </w:pPr>
      <w:r>
        <w:separator/>
      </w:r>
    </w:p>
  </w:footnote>
  <w:footnote w:type="continuationSeparator" w:id="0">
    <w:p w14:paraId="438B54D6" w14:textId="77777777" w:rsidR="007C23FF" w:rsidRDefault="007C23FF" w:rsidP="00AB1ED2">
      <w:pPr>
        <w:spacing w:after="0" w:line="240" w:lineRule="auto"/>
      </w:pPr>
      <w:r>
        <w:continuationSeparator/>
      </w:r>
    </w:p>
  </w:footnote>
  <w:footnote w:type="continuationNotice" w:id="1">
    <w:p w14:paraId="354409DF" w14:textId="77777777" w:rsidR="007C23FF" w:rsidRDefault="007C2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99F"/>
    <w:multiLevelType w:val="hybridMultilevel"/>
    <w:tmpl w:val="FB1A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B66CA"/>
    <w:multiLevelType w:val="hybridMultilevel"/>
    <w:tmpl w:val="59F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479F"/>
    <w:multiLevelType w:val="multilevel"/>
    <w:tmpl w:val="BDD8B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17ED6"/>
    <w:multiLevelType w:val="hybridMultilevel"/>
    <w:tmpl w:val="79E4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AC7D49"/>
    <w:multiLevelType w:val="hybridMultilevel"/>
    <w:tmpl w:val="382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D7F86"/>
    <w:multiLevelType w:val="hybridMultilevel"/>
    <w:tmpl w:val="C428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2A3D"/>
    <w:multiLevelType w:val="hybridMultilevel"/>
    <w:tmpl w:val="3E7443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9829F3"/>
    <w:multiLevelType w:val="hybridMultilevel"/>
    <w:tmpl w:val="56DEEA54"/>
    <w:lvl w:ilvl="0" w:tplc="3A9CE2CC">
      <w:start w:val="20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C5153"/>
    <w:multiLevelType w:val="hybridMultilevel"/>
    <w:tmpl w:val="3BE8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161CF"/>
    <w:multiLevelType w:val="hybridMultilevel"/>
    <w:tmpl w:val="1AF6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93145"/>
    <w:multiLevelType w:val="hybridMultilevel"/>
    <w:tmpl w:val="A4D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62A5F"/>
    <w:multiLevelType w:val="hybridMultilevel"/>
    <w:tmpl w:val="926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76A7A"/>
    <w:multiLevelType w:val="hybridMultilevel"/>
    <w:tmpl w:val="ED4A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33674"/>
    <w:multiLevelType w:val="hybridMultilevel"/>
    <w:tmpl w:val="FA7ABAD2"/>
    <w:lvl w:ilvl="0" w:tplc="93EA0BFA">
      <w:start w:val="1"/>
      <w:numFmt w:val="decimal"/>
      <w:lvlText w:val="%1."/>
      <w:lvlJc w:val="left"/>
      <w:pPr>
        <w:ind w:left="720" w:hanging="360"/>
      </w:pPr>
      <w:rPr>
        <w:rFonts w:eastAsia="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8652E7"/>
    <w:multiLevelType w:val="hybridMultilevel"/>
    <w:tmpl w:val="4608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051551">
    <w:abstractNumId w:val="14"/>
  </w:num>
  <w:num w:numId="2" w16cid:durableId="552695018">
    <w:abstractNumId w:val="3"/>
  </w:num>
  <w:num w:numId="3" w16cid:durableId="440416153">
    <w:abstractNumId w:val="2"/>
  </w:num>
  <w:num w:numId="4" w16cid:durableId="1334068833">
    <w:abstractNumId w:val="13"/>
  </w:num>
  <w:num w:numId="5" w16cid:durableId="86119611">
    <w:abstractNumId w:val="11"/>
  </w:num>
  <w:num w:numId="6" w16cid:durableId="1593933772">
    <w:abstractNumId w:val="0"/>
  </w:num>
  <w:num w:numId="7" w16cid:durableId="2111972510">
    <w:abstractNumId w:val="12"/>
  </w:num>
  <w:num w:numId="8" w16cid:durableId="57678955">
    <w:abstractNumId w:val="8"/>
  </w:num>
  <w:num w:numId="9" w16cid:durableId="320356031">
    <w:abstractNumId w:val="9"/>
  </w:num>
  <w:num w:numId="10" w16cid:durableId="2068259366">
    <w:abstractNumId w:val="5"/>
  </w:num>
  <w:num w:numId="11" w16cid:durableId="2048875263">
    <w:abstractNumId w:val="4"/>
  </w:num>
  <w:num w:numId="12" w16cid:durableId="1522548456">
    <w:abstractNumId w:val="7"/>
  </w:num>
  <w:num w:numId="13" w16cid:durableId="1002777608">
    <w:abstractNumId w:val="10"/>
  </w:num>
  <w:num w:numId="14" w16cid:durableId="529880186">
    <w:abstractNumId w:val="6"/>
  </w:num>
  <w:num w:numId="15" w16cid:durableId="159574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18"/>
    <w:rsid w:val="00001A2A"/>
    <w:rsid w:val="00004BDA"/>
    <w:rsid w:val="00057E0A"/>
    <w:rsid w:val="000720B7"/>
    <w:rsid w:val="00074DAC"/>
    <w:rsid w:val="00082A47"/>
    <w:rsid w:val="00094488"/>
    <w:rsid w:val="000A1862"/>
    <w:rsid w:val="000A5DA9"/>
    <w:rsid w:val="000A78ED"/>
    <w:rsid w:val="000F34F8"/>
    <w:rsid w:val="001012FD"/>
    <w:rsid w:val="00124CBF"/>
    <w:rsid w:val="00196E22"/>
    <w:rsid w:val="001A694A"/>
    <w:rsid w:val="001A6C84"/>
    <w:rsid w:val="001C0F97"/>
    <w:rsid w:val="001E24AD"/>
    <w:rsid w:val="001F5132"/>
    <w:rsid w:val="002139F2"/>
    <w:rsid w:val="00217262"/>
    <w:rsid w:val="00221C0A"/>
    <w:rsid w:val="00232B28"/>
    <w:rsid w:val="00244155"/>
    <w:rsid w:val="00264EA8"/>
    <w:rsid w:val="00273503"/>
    <w:rsid w:val="002B3031"/>
    <w:rsid w:val="002C5DC1"/>
    <w:rsid w:val="002F1158"/>
    <w:rsid w:val="002F2FD6"/>
    <w:rsid w:val="0030157D"/>
    <w:rsid w:val="00321E5B"/>
    <w:rsid w:val="003243BB"/>
    <w:rsid w:val="00330DC5"/>
    <w:rsid w:val="00333C95"/>
    <w:rsid w:val="003751D0"/>
    <w:rsid w:val="00383FC6"/>
    <w:rsid w:val="00387A14"/>
    <w:rsid w:val="0039210B"/>
    <w:rsid w:val="003C111C"/>
    <w:rsid w:val="003F2BED"/>
    <w:rsid w:val="003F2E0D"/>
    <w:rsid w:val="00405ECD"/>
    <w:rsid w:val="00420FC9"/>
    <w:rsid w:val="004212BB"/>
    <w:rsid w:val="00431444"/>
    <w:rsid w:val="004355A5"/>
    <w:rsid w:val="00441615"/>
    <w:rsid w:val="0045277C"/>
    <w:rsid w:val="00465F14"/>
    <w:rsid w:val="004761CD"/>
    <w:rsid w:val="004A5336"/>
    <w:rsid w:val="004A6615"/>
    <w:rsid w:val="004B01EB"/>
    <w:rsid w:val="004C6401"/>
    <w:rsid w:val="004F46A8"/>
    <w:rsid w:val="00500451"/>
    <w:rsid w:val="00564BE4"/>
    <w:rsid w:val="00566815"/>
    <w:rsid w:val="0059468B"/>
    <w:rsid w:val="005A1F5E"/>
    <w:rsid w:val="005A6975"/>
    <w:rsid w:val="005B2EDC"/>
    <w:rsid w:val="005B521D"/>
    <w:rsid w:val="005B7D94"/>
    <w:rsid w:val="005C42E7"/>
    <w:rsid w:val="005C4D00"/>
    <w:rsid w:val="005E0462"/>
    <w:rsid w:val="005E7BEB"/>
    <w:rsid w:val="00606DF2"/>
    <w:rsid w:val="006168E3"/>
    <w:rsid w:val="006244F8"/>
    <w:rsid w:val="00632704"/>
    <w:rsid w:val="00637895"/>
    <w:rsid w:val="0064280E"/>
    <w:rsid w:val="006557D6"/>
    <w:rsid w:val="00663D2C"/>
    <w:rsid w:val="006725EE"/>
    <w:rsid w:val="00673CE8"/>
    <w:rsid w:val="00681EEE"/>
    <w:rsid w:val="00684F12"/>
    <w:rsid w:val="00726F26"/>
    <w:rsid w:val="00727681"/>
    <w:rsid w:val="00752A6C"/>
    <w:rsid w:val="00761DDF"/>
    <w:rsid w:val="00771987"/>
    <w:rsid w:val="0078182F"/>
    <w:rsid w:val="007951A2"/>
    <w:rsid w:val="007B7F6D"/>
    <w:rsid w:val="007B7F90"/>
    <w:rsid w:val="007C23FF"/>
    <w:rsid w:val="007D795F"/>
    <w:rsid w:val="007E5382"/>
    <w:rsid w:val="007E5929"/>
    <w:rsid w:val="00801FB3"/>
    <w:rsid w:val="00805C1E"/>
    <w:rsid w:val="00811124"/>
    <w:rsid w:val="00833977"/>
    <w:rsid w:val="00850EA2"/>
    <w:rsid w:val="00861FFA"/>
    <w:rsid w:val="0087680E"/>
    <w:rsid w:val="00897779"/>
    <w:rsid w:val="008B38D5"/>
    <w:rsid w:val="008C701D"/>
    <w:rsid w:val="008E6341"/>
    <w:rsid w:val="008F0909"/>
    <w:rsid w:val="00900DC1"/>
    <w:rsid w:val="00917160"/>
    <w:rsid w:val="00920B10"/>
    <w:rsid w:val="009227D4"/>
    <w:rsid w:val="00947BE3"/>
    <w:rsid w:val="009712EE"/>
    <w:rsid w:val="00984E4E"/>
    <w:rsid w:val="00986718"/>
    <w:rsid w:val="0099337A"/>
    <w:rsid w:val="009A4997"/>
    <w:rsid w:val="009C4F41"/>
    <w:rsid w:val="009C7D05"/>
    <w:rsid w:val="009E711D"/>
    <w:rsid w:val="009F2E9F"/>
    <w:rsid w:val="00A10C38"/>
    <w:rsid w:val="00A120BD"/>
    <w:rsid w:val="00A14D9F"/>
    <w:rsid w:val="00A357ED"/>
    <w:rsid w:val="00A6641E"/>
    <w:rsid w:val="00A80610"/>
    <w:rsid w:val="00A905E5"/>
    <w:rsid w:val="00A95105"/>
    <w:rsid w:val="00AB1ED2"/>
    <w:rsid w:val="00AC7B7E"/>
    <w:rsid w:val="00AD4C58"/>
    <w:rsid w:val="00B00DDD"/>
    <w:rsid w:val="00B02EDA"/>
    <w:rsid w:val="00B14253"/>
    <w:rsid w:val="00B308B2"/>
    <w:rsid w:val="00B334DC"/>
    <w:rsid w:val="00B4660C"/>
    <w:rsid w:val="00B548FC"/>
    <w:rsid w:val="00B6771F"/>
    <w:rsid w:val="00BA5B82"/>
    <w:rsid w:val="00BB3DAC"/>
    <w:rsid w:val="00BB69BB"/>
    <w:rsid w:val="00BC1CB7"/>
    <w:rsid w:val="00BE5154"/>
    <w:rsid w:val="00BF2A61"/>
    <w:rsid w:val="00BF4322"/>
    <w:rsid w:val="00C03678"/>
    <w:rsid w:val="00C126D6"/>
    <w:rsid w:val="00C134E7"/>
    <w:rsid w:val="00C3059E"/>
    <w:rsid w:val="00C43E31"/>
    <w:rsid w:val="00C52B93"/>
    <w:rsid w:val="00C627BD"/>
    <w:rsid w:val="00C65BC8"/>
    <w:rsid w:val="00C66438"/>
    <w:rsid w:val="00C71170"/>
    <w:rsid w:val="00C731B6"/>
    <w:rsid w:val="00C7466A"/>
    <w:rsid w:val="00C81AA0"/>
    <w:rsid w:val="00CA5179"/>
    <w:rsid w:val="00CC5E59"/>
    <w:rsid w:val="00CD19C2"/>
    <w:rsid w:val="00D32136"/>
    <w:rsid w:val="00D40DBD"/>
    <w:rsid w:val="00D5285C"/>
    <w:rsid w:val="00D54A97"/>
    <w:rsid w:val="00D54FC7"/>
    <w:rsid w:val="00D61A58"/>
    <w:rsid w:val="00D71E46"/>
    <w:rsid w:val="00D77455"/>
    <w:rsid w:val="00D91647"/>
    <w:rsid w:val="00DB037B"/>
    <w:rsid w:val="00DB23C6"/>
    <w:rsid w:val="00DB28AD"/>
    <w:rsid w:val="00DC509D"/>
    <w:rsid w:val="00DD76CA"/>
    <w:rsid w:val="00DD7ACF"/>
    <w:rsid w:val="00DE4FCC"/>
    <w:rsid w:val="00DF7380"/>
    <w:rsid w:val="00E220ED"/>
    <w:rsid w:val="00E3151A"/>
    <w:rsid w:val="00E51EC9"/>
    <w:rsid w:val="00E579A3"/>
    <w:rsid w:val="00E72C5D"/>
    <w:rsid w:val="00E72E30"/>
    <w:rsid w:val="00E83057"/>
    <w:rsid w:val="00E91E9A"/>
    <w:rsid w:val="00EB46F9"/>
    <w:rsid w:val="00EB6D6B"/>
    <w:rsid w:val="00ED4CE9"/>
    <w:rsid w:val="00ED77C5"/>
    <w:rsid w:val="00F21AAD"/>
    <w:rsid w:val="00F313B7"/>
    <w:rsid w:val="00F35FFC"/>
    <w:rsid w:val="00F618DF"/>
    <w:rsid w:val="00FC1355"/>
    <w:rsid w:val="00FC36C9"/>
    <w:rsid w:val="00FC4019"/>
    <w:rsid w:val="00FD08DC"/>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6F56"/>
  <w15:chartTrackingRefBased/>
  <w15:docId w15:val="{4460E5AE-4F49-4811-A645-85F827C9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2"/>
  </w:style>
  <w:style w:type="paragraph" w:styleId="Footer">
    <w:name w:val="footer"/>
    <w:basedOn w:val="Normal"/>
    <w:link w:val="FooterChar"/>
    <w:uiPriority w:val="99"/>
    <w:unhideWhenUsed/>
    <w:rsid w:val="00AB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2"/>
  </w:style>
  <w:style w:type="paragraph" w:styleId="ListParagraph">
    <w:name w:val="List Paragraph"/>
    <w:basedOn w:val="Normal"/>
    <w:uiPriority w:val="34"/>
    <w:qFormat/>
    <w:rsid w:val="007E5382"/>
    <w:pPr>
      <w:ind w:left="720"/>
      <w:contextualSpacing/>
    </w:pPr>
  </w:style>
  <w:style w:type="character" w:styleId="CommentReference">
    <w:name w:val="annotation reference"/>
    <w:uiPriority w:val="99"/>
    <w:semiHidden/>
    <w:unhideWhenUsed/>
    <w:rsid w:val="00BE5154"/>
    <w:rPr>
      <w:sz w:val="16"/>
      <w:szCs w:val="16"/>
    </w:rPr>
  </w:style>
  <w:style w:type="paragraph" w:styleId="CommentText">
    <w:name w:val="annotation text"/>
    <w:basedOn w:val="Normal"/>
    <w:link w:val="CommentTextChar"/>
    <w:uiPriority w:val="99"/>
    <w:unhideWhenUsed/>
    <w:rsid w:val="00BE5154"/>
    <w:pPr>
      <w:spacing w:line="240" w:lineRule="auto"/>
    </w:pPr>
    <w:rPr>
      <w:sz w:val="20"/>
      <w:szCs w:val="20"/>
    </w:rPr>
  </w:style>
  <w:style w:type="character" w:customStyle="1" w:styleId="CommentTextChar">
    <w:name w:val="Comment Text Char"/>
    <w:link w:val="CommentText"/>
    <w:uiPriority w:val="99"/>
    <w:rsid w:val="00BE5154"/>
    <w:rPr>
      <w:sz w:val="20"/>
      <w:szCs w:val="20"/>
    </w:rPr>
  </w:style>
  <w:style w:type="paragraph" w:styleId="CommentSubject">
    <w:name w:val="annotation subject"/>
    <w:basedOn w:val="CommentText"/>
    <w:next w:val="CommentText"/>
    <w:link w:val="CommentSubjectChar"/>
    <w:uiPriority w:val="99"/>
    <w:semiHidden/>
    <w:unhideWhenUsed/>
    <w:rsid w:val="00BE5154"/>
    <w:rPr>
      <w:b/>
      <w:bCs/>
    </w:rPr>
  </w:style>
  <w:style w:type="character" w:customStyle="1" w:styleId="CommentSubjectChar">
    <w:name w:val="Comment Subject Char"/>
    <w:link w:val="CommentSubject"/>
    <w:uiPriority w:val="99"/>
    <w:semiHidden/>
    <w:rsid w:val="00BE5154"/>
    <w:rPr>
      <w:b/>
      <w:bCs/>
      <w:sz w:val="20"/>
      <w:szCs w:val="20"/>
    </w:rPr>
  </w:style>
  <w:style w:type="paragraph" w:styleId="BalloonText">
    <w:name w:val="Balloon Text"/>
    <w:basedOn w:val="Normal"/>
    <w:link w:val="BalloonTextChar"/>
    <w:uiPriority w:val="99"/>
    <w:semiHidden/>
    <w:unhideWhenUsed/>
    <w:rsid w:val="00BE51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5154"/>
    <w:rPr>
      <w:rFonts w:ascii="Tahoma" w:hAnsi="Tahoma" w:cs="Tahoma"/>
      <w:sz w:val="16"/>
      <w:szCs w:val="16"/>
    </w:rPr>
  </w:style>
  <w:style w:type="character" w:styleId="Hyperlink">
    <w:name w:val="Hyperlink"/>
    <w:basedOn w:val="DefaultParagraphFont"/>
    <w:uiPriority w:val="99"/>
    <w:unhideWhenUsed/>
    <w:rsid w:val="00441615"/>
    <w:rPr>
      <w:color w:val="0563C1" w:themeColor="hyperlink"/>
      <w:u w:val="single"/>
    </w:rPr>
  </w:style>
  <w:style w:type="character" w:styleId="UnresolvedMention">
    <w:name w:val="Unresolved Mention"/>
    <w:basedOn w:val="DefaultParagraphFont"/>
    <w:uiPriority w:val="99"/>
    <w:semiHidden/>
    <w:unhideWhenUsed/>
    <w:rsid w:val="00441615"/>
    <w:rPr>
      <w:color w:val="605E5C"/>
      <w:shd w:val="clear" w:color="auto" w:fill="E1DFDD"/>
    </w:rPr>
  </w:style>
  <w:style w:type="character" w:styleId="FollowedHyperlink">
    <w:name w:val="FollowedHyperlink"/>
    <w:basedOn w:val="DefaultParagraphFont"/>
    <w:uiPriority w:val="99"/>
    <w:semiHidden/>
    <w:unhideWhenUsed/>
    <w:rsid w:val="00CA5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03484">
      <w:bodyDiv w:val="1"/>
      <w:marLeft w:val="0"/>
      <w:marRight w:val="0"/>
      <w:marTop w:val="0"/>
      <w:marBottom w:val="0"/>
      <w:divBdr>
        <w:top w:val="none" w:sz="0" w:space="0" w:color="auto"/>
        <w:left w:val="none" w:sz="0" w:space="0" w:color="auto"/>
        <w:bottom w:val="none" w:sz="0" w:space="0" w:color="auto"/>
        <w:right w:val="none" w:sz="0" w:space="0" w:color="auto"/>
      </w:divBdr>
    </w:div>
    <w:div w:id="1254242799">
      <w:bodyDiv w:val="1"/>
      <w:marLeft w:val="0"/>
      <w:marRight w:val="0"/>
      <w:marTop w:val="0"/>
      <w:marBottom w:val="0"/>
      <w:divBdr>
        <w:top w:val="none" w:sz="0" w:space="0" w:color="auto"/>
        <w:left w:val="none" w:sz="0" w:space="0" w:color="auto"/>
        <w:bottom w:val="none" w:sz="0" w:space="0" w:color="auto"/>
        <w:right w:val="none" w:sz="0" w:space="0" w:color="auto"/>
      </w:divBdr>
    </w:div>
    <w:div w:id="1292059148">
      <w:bodyDiv w:val="1"/>
      <w:marLeft w:val="0"/>
      <w:marRight w:val="0"/>
      <w:marTop w:val="0"/>
      <w:marBottom w:val="0"/>
      <w:divBdr>
        <w:top w:val="none" w:sz="0" w:space="0" w:color="auto"/>
        <w:left w:val="none" w:sz="0" w:space="0" w:color="auto"/>
        <w:bottom w:val="none" w:sz="0" w:space="0" w:color="auto"/>
        <w:right w:val="none" w:sz="0" w:space="0" w:color="auto"/>
      </w:divBdr>
    </w:div>
    <w:div w:id="1720982442">
      <w:bodyDiv w:val="1"/>
      <w:marLeft w:val="0"/>
      <w:marRight w:val="0"/>
      <w:marTop w:val="0"/>
      <w:marBottom w:val="0"/>
      <w:divBdr>
        <w:top w:val="none" w:sz="0" w:space="0" w:color="auto"/>
        <w:left w:val="none" w:sz="0" w:space="0" w:color="auto"/>
        <w:bottom w:val="none" w:sz="0" w:space="0" w:color="auto"/>
        <w:right w:val="none" w:sz="0" w:space="0" w:color="auto"/>
      </w:divBdr>
    </w:div>
    <w:div w:id="20951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gtermplan.nhs.uk/publication/nhs-long-term-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guidance/ng2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mjopenrespres.bmj.com/content/5/1/e00028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it-thoracic.org.uk/quality-improvement/guidelines/asth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6" ma:contentTypeDescription="Create a new document." ma:contentTypeScope="" ma:versionID="43eb203cc05f837d09433e2347841669">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35b10e1bc53dee3d17659eb2bd262213"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F0F5B-59D1-4CDF-8EA9-330F98CCF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f34e-7fe3-4ddf-a408-9f081236fa99"/>
    <ds:schemaRef ds:uri="a9225902-e28a-4f93-8698-7034769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A3A0E-5B3A-4745-98B0-22477BE18811}">
  <ds:schemaRefs>
    <ds:schemaRef ds:uri="http://schemas.microsoft.com/sharepoint/v3/contenttype/forms"/>
  </ds:schemaRefs>
</ds:datastoreItem>
</file>

<file path=customXml/itemProps3.xml><?xml version="1.0" encoding="utf-8"?>
<ds:datastoreItem xmlns:ds="http://schemas.openxmlformats.org/officeDocument/2006/customXml" ds:itemID="{3EC738A8-3F91-4F48-9E88-BECE79142587}">
  <ds:schemaRefs>
    <ds:schemaRef ds:uri="http://schemas.microsoft.com/office/2006/metadata/properties"/>
    <ds:schemaRef ds:uri="http://schemas.microsoft.com/office/infopath/2007/PartnerControls"/>
    <ds:schemaRef ds:uri="a9225902-e28a-4f93-8698-7034769f5eb3"/>
    <ds:schemaRef ds:uri="f1a5f34e-7fe3-4ddf-a408-9f081236fa99"/>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Olatunde</dc:creator>
  <cp:keywords/>
  <cp:lastModifiedBy>Eleanor Rochell</cp:lastModifiedBy>
  <cp:revision>136</cp:revision>
  <dcterms:created xsi:type="dcterms:W3CDTF">2025-01-29T15:19:00Z</dcterms:created>
  <dcterms:modified xsi:type="dcterms:W3CDTF">2025-04-23T10:03:00Z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0x0101002816C8417C0B6D4AB06FED142CFD6E8B</vt:lpwstr>
  </property>
  <property fmtid="{D5CDD505-2E9C-101B-9397-08002B2CF9AE}" pid="3" name="MediaServiceImageTags">
    <vt:lpwstr/>
  </property>
</Properties>
</file>